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394A" w:rsidRPr="00EC16FB" w:rsidRDefault="00DA1498" w:rsidP="00D04007">
      <w:pPr>
        <w:autoSpaceDE w:val="0"/>
        <w:autoSpaceDN w:val="0"/>
        <w:adjustRightInd w:val="0"/>
        <w:spacing w:after="0" w:line="240" w:lineRule="auto"/>
        <w:rPr>
          <w:rFonts w:cs="Helvetica"/>
          <w:b/>
          <w:sz w:val="24"/>
          <w:szCs w:val="24"/>
        </w:rPr>
      </w:pPr>
      <w:bookmarkStart w:id="0" w:name="_GoBack"/>
      <w:bookmarkEnd w:id="0"/>
      <w:r w:rsidRPr="00EC16FB">
        <w:rPr>
          <w:rFonts w:cs="Helvetica"/>
          <w:b/>
          <w:sz w:val="24"/>
          <w:szCs w:val="24"/>
        </w:rPr>
        <w:t>Diagnostic Challenges in Head</w:t>
      </w:r>
      <w:r w:rsidR="005C6F73">
        <w:rPr>
          <w:rFonts w:cs="Helvetica"/>
          <w:b/>
          <w:sz w:val="24"/>
          <w:szCs w:val="24"/>
        </w:rPr>
        <w:t xml:space="preserve"> and</w:t>
      </w:r>
      <w:r w:rsidRPr="00EC16FB">
        <w:rPr>
          <w:rFonts w:cs="Helvetica"/>
          <w:b/>
          <w:sz w:val="24"/>
          <w:szCs w:val="24"/>
        </w:rPr>
        <w:t xml:space="preserve"> N</w:t>
      </w:r>
      <w:r w:rsidR="008F4CDF" w:rsidRPr="00EC16FB">
        <w:rPr>
          <w:rFonts w:cs="Helvetica"/>
          <w:b/>
          <w:sz w:val="24"/>
          <w:szCs w:val="24"/>
        </w:rPr>
        <w:t>eck</w:t>
      </w:r>
      <w:r w:rsidRPr="00EC16FB">
        <w:rPr>
          <w:rFonts w:cs="Helvetica"/>
          <w:b/>
          <w:sz w:val="24"/>
          <w:szCs w:val="24"/>
        </w:rPr>
        <w:t xml:space="preserve"> Cytopathology </w:t>
      </w:r>
    </w:p>
    <w:p w:rsidR="00FB394A" w:rsidRPr="00DA1498" w:rsidRDefault="00FB394A" w:rsidP="00DA1498">
      <w:pPr>
        <w:autoSpaceDE w:val="0"/>
        <w:autoSpaceDN w:val="0"/>
        <w:adjustRightInd w:val="0"/>
        <w:spacing w:after="0" w:line="240" w:lineRule="auto"/>
        <w:rPr>
          <w:rFonts w:cs="Helvetica"/>
          <w:sz w:val="24"/>
          <w:szCs w:val="24"/>
        </w:rPr>
      </w:pPr>
    </w:p>
    <w:p w:rsidR="00DA1498" w:rsidRPr="00DA1498" w:rsidRDefault="00DA1498" w:rsidP="00DA1498">
      <w:pPr>
        <w:autoSpaceDE w:val="0"/>
        <w:autoSpaceDN w:val="0"/>
        <w:adjustRightInd w:val="0"/>
        <w:spacing w:after="0" w:line="240" w:lineRule="auto"/>
        <w:rPr>
          <w:b/>
          <w:bCs/>
          <w:sz w:val="24"/>
          <w:szCs w:val="24"/>
        </w:rPr>
      </w:pPr>
      <w:r w:rsidRPr="00DA1498">
        <w:rPr>
          <w:b/>
          <w:bCs/>
          <w:sz w:val="24"/>
          <w:szCs w:val="24"/>
        </w:rPr>
        <w:t>Educational Session Description:</w:t>
      </w:r>
    </w:p>
    <w:p w:rsidR="00DA1498" w:rsidRPr="00DA1498" w:rsidRDefault="00DA1498" w:rsidP="00DA1498">
      <w:pPr>
        <w:autoSpaceDE w:val="0"/>
        <w:autoSpaceDN w:val="0"/>
        <w:adjustRightInd w:val="0"/>
        <w:spacing w:after="0" w:line="240" w:lineRule="auto"/>
        <w:rPr>
          <w:b/>
          <w:bCs/>
          <w:sz w:val="24"/>
          <w:szCs w:val="24"/>
        </w:rPr>
      </w:pPr>
    </w:p>
    <w:p w:rsidR="00DA1498" w:rsidRPr="00DA1498" w:rsidRDefault="00D04007" w:rsidP="00DA1498">
      <w:pPr>
        <w:autoSpaceDE w:val="0"/>
        <w:autoSpaceDN w:val="0"/>
        <w:adjustRightInd w:val="0"/>
        <w:spacing w:after="0" w:line="240" w:lineRule="auto"/>
        <w:rPr>
          <w:rFonts w:cs="ACaslonPro-Regular"/>
          <w:sz w:val="24"/>
          <w:szCs w:val="24"/>
        </w:rPr>
      </w:pPr>
      <w:r w:rsidRPr="00DA1498">
        <w:rPr>
          <w:rFonts w:cs="ACaslonPro-Regular"/>
          <w:sz w:val="24"/>
          <w:szCs w:val="24"/>
        </w:rPr>
        <w:t>Fine needle aspiration has</w:t>
      </w:r>
      <w:r w:rsidR="00DA1498" w:rsidRPr="00DA1498">
        <w:rPr>
          <w:rFonts w:cs="ACaslonPro-Regular"/>
          <w:sz w:val="24"/>
          <w:szCs w:val="24"/>
        </w:rPr>
        <w:t xml:space="preserve"> </w:t>
      </w:r>
      <w:r w:rsidRPr="00DA1498">
        <w:rPr>
          <w:rFonts w:cs="ACaslonPro-Regular"/>
          <w:sz w:val="24"/>
          <w:szCs w:val="24"/>
        </w:rPr>
        <w:t xml:space="preserve">gained significant popularity in </w:t>
      </w:r>
      <w:r w:rsidR="005C6F73">
        <w:rPr>
          <w:rFonts w:cs="ACaslonPro-Regular"/>
          <w:sz w:val="24"/>
          <w:szCs w:val="24"/>
        </w:rPr>
        <w:t xml:space="preserve">the </w:t>
      </w:r>
      <w:r w:rsidRPr="00DA1498">
        <w:rPr>
          <w:rFonts w:cs="ACaslonPro-Regular"/>
          <w:sz w:val="24"/>
          <w:szCs w:val="24"/>
        </w:rPr>
        <w:t>evaluation</w:t>
      </w:r>
      <w:r w:rsidR="00DA1498" w:rsidRPr="00DA1498">
        <w:rPr>
          <w:rFonts w:cs="ACaslonPro-Regular"/>
          <w:sz w:val="24"/>
          <w:szCs w:val="24"/>
        </w:rPr>
        <w:t xml:space="preserve"> </w:t>
      </w:r>
      <w:r w:rsidRPr="00DA1498">
        <w:rPr>
          <w:rFonts w:cs="ACaslonPro-Regular"/>
          <w:sz w:val="24"/>
          <w:szCs w:val="24"/>
        </w:rPr>
        <w:t>of head and neck lesions due to its minimally</w:t>
      </w:r>
      <w:r w:rsidR="00DA1498" w:rsidRPr="00DA1498">
        <w:rPr>
          <w:rFonts w:cs="ACaslonPro-Regular"/>
          <w:sz w:val="24"/>
          <w:szCs w:val="24"/>
        </w:rPr>
        <w:t xml:space="preserve"> </w:t>
      </w:r>
      <w:r w:rsidR="00EC16FB">
        <w:rPr>
          <w:rFonts w:cs="ACaslonPro-Regular"/>
          <w:sz w:val="24"/>
          <w:szCs w:val="24"/>
        </w:rPr>
        <w:t xml:space="preserve">invasive nature, not leaving a </w:t>
      </w:r>
      <w:r w:rsidRPr="00DA1498">
        <w:rPr>
          <w:rFonts w:cs="ACaslonPro-Regular"/>
          <w:sz w:val="24"/>
          <w:szCs w:val="24"/>
        </w:rPr>
        <w:t>scar, and the possibility</w:t>
      </w:r>
      <w:r w:rsidR="00DA1498" w:rsidRPr="00DA1498">
        <w:rPr>
          <w:rFonts w:cs="ACaslonPro-Regular"/>
          <w:sz w:val="24"/>
          <w:szCs w:val="24"/>
        </w:rPr>
        <w:t xml:space="preserve"> </w:t>
      </w:r>
      <w:r w:rsidRPr="00DA1498">
        <w:rPr>
          <w:rFonts w:cs="ACaslonPro-Regular"/>
          <w:sz w:val="24"/>
          <w:szCs w:val="24"/>
        </w:rPr>
        <w:t>of repeating the procedure</w:t>
      </w:r>
      <w:r w:rsidR="00EC16FB">
        <w:rPr>
          <w:rFonts w:cs="ACaslonPro-Regular"/>
          <w:sz w:val="24"/>
          <w:szCs w:val="24"/>
        </w:rPr>
        <w:t xml:space="preserve"> if it is needed</w:t>
      </w:r>
      <w:r w:rsidRPr="00DA1498">
        <w:rPr>
          <w:rFonts w:cs="ACaslonPro-Regular"/>
          <w:sz w:val="24"/>
          <w:szCs w:val="24"/>
        </w:rPr>
        <w:t>. There is also an</w:t>
      </w:r>
      <w:r w:rsidR="00DA1498" w:rsidRPr="00DA1498">
        <w:rPr>
          <w:rFonts w:cs="ACaslonPro-Regular"/>
          <w:sz w:val="24"/>
          <w:szCs w:val="24"/>
        </w:rPr>
        <w:t xml:space="preserve"> </w:t>
      </w:r>
      <w:r w:rsidRPr="00DA1498">
        <w:rPr>
          <w:rFonts w:cs="ACaslonPro-Regular"/>
          <w:sz w:val="24"/>
          <w:szCs w:val="24"/>
        </w:rPr>
        <w:t>increase</w:t>
      </w:r>
      <w:r w:rsidR="005C6F73">
        <w:rPr>
          <w:rFonts w:cs="ACaslonPro-Regular"/>
          <w:sz w:val="24"/>
          <w:szCs w:val="24"/>
        </w:rPr>
        <w:t>d</w:t>
      </w:r>
      <w:r w:rsidRPr="00DA1498">
        <w:rPr>
          <w:rFonts w:cs="ACaslonPro-Regular"/>
          <w:sz w:val="24"/>
          <w:szCs w:val="24"/>
        </w:rPr>
        <w:t xml:space="preserve"> demand by clinicians and surgeons</w:t>
      </w:r>
      <w:r w:rsidR="00DA1498" w:rsidRPr="00DA1498">
        <w:rPr>
          <w:rFonts w:cs="ACaslonPro-Regular"/>
          <w:sz w:val="24"/>
          <w:szCs w:val="24"/>
        </w:rPr>
        <w:t xml:space="preserve"> </w:t>
      </w:r>
      <w:r w:rsidRPr="00DA1498">
        <w:rPr>
          <w:rFonts w:cs="ACaslonPro-Regular"/>
          <w:sz w:val="24"/>
          <w:szCs w:val="24"/>
        </w:rPr>
        <w:t>to receive a definitive diagnosis in order to</w:t>
      </w:r>
      <w:r w:rsidR="00DA1498" w:rsidRPr="00DA1498">
        <w:rPr>
          <w:rFonts w:cs="ACaslonPro-Regular"/>
          <w:sz w:val="24"/>
          <w:szCs w:val="24"/>
        </w:rPr>
        <w:t xml:space="preserve"> </w:t>
      </w:r>
      <w:r w:rsidRPr="00DA1498">
        <w:rPr>
          <w:rFonts w:cs="ACaslonPro-Regular"/>
          <w:sz w:val="24"/>
          <w:szCs w:val="24"/>
        </w:rPr>
        <w:t>avoid any unnecessary aggressive procedures.</w:t>
      </w:r>
      <w:r w:rsidR="00DA1498" w:rsidRPr="00DA1498">
        <w:rPr>
          <w:rFonts w:cs="ACaslonPro-Regular"/>
          <w:sz w:val="24"/>
          <w:szCs w:val="24"/>
        </w:rPr>
        <w:t xml:space="preserve"> </w:t>
      </w:r>
      <w:r w:rsidR="00EC16FB">
        <w:rPr>
          <w:rFonts w:cs="ACaslonPro-Regular"/>
          <w:sz w:val="24"/>
          <w:szCs w:val="24"/>
        </w:rPr>
        <w:t>Moreover, additional diagnostic material is required for ancillary testing particularly when</w:t>
      </w:r>
      <w:r w:rsidR="000B7A8C">
        <w:rPr>
          <w:rFonts w:cs="ACaslonPro-Regular"/>
          <w:sz w:val="24"/>
          <w:szCs w:val="24"/>
        </w:rPr>
        <w:t>ever</w:t>
      </w:r>
      <w:r w:rsidR="00EC16FB">
        <w:rPr>
          <w:rFonts w:cs="ACaslonPro-Regular"/>
          <w:sz w:val="24"/>
          <w:szCs w:val="24"/>
        </w:rPr>
        <w:t xml:space="preserve"> </w:t>
      </w:r>
      <w:r w:rsidR="005C6F73">
        <w:rPr>
          <w:rFonts w:cs="ACaslonPro-Regular"/>
          <w:sz w:val="24"/>
          <w:szCs w:val="24"/>
        </w:rPr>
        <w:t xml:space="preserve">precision </w:t>
      </w:r>
      <w:r w:rsidR="000B7A8C">
        <w:rPr>
          <w:rFonts w:cs="ACaslonPro-Regular"/>
          <w:sz w:val="24"/>
          <w:szCs w:val="24"/>
        </w:rPr>
        <w:t>medicine is applicable. In general</w:t>
      </w:r>
      <w:r w:rsidR="005C6F73">
        <w:rPr>
          <w:rFonts w:cs="ACaslonPro-Regular"/>
          <w:sz w:val="24"/>
          <w:szCs w:val="24"/>
        </w:rPr>
        <w:t>,</w:t>
      </w:r>
      <w:r w:rsidR="000B7A8C">
        <w:rPr>
          <w:rFonts w:cs="ACaslonPro-Regular"/>
          <w:sz w:val="24"/>
          <w:szCs w:val="24"/>
        </w:rPr>
        <w:t xml:space="preserve"> head </w:t>
      </w:r>
      <w:r w:rsidR="005C6F73">
        <w:rPr>
          <w:rFonts w:cs="ACaslonPro-Regular"/>
          <w:sz w:val="24"/>
          <w:szCs w:val="24"/>
        </w:rPr>
        <w:t>and</w:t>
      </w:r>
      <w:r w:rsidR="000B7A8C">
        <w:rPr>
          <w:rFonts w:cs="ACaslonPro-Regular"/>
          <w:sz w:val="24"/>
          <w:szCs w:val="24"/>
        </w:rPr>
        <w:t xml:space="preserve"> neck mass lesions are relatively uncommon</w:t>
      </w:r>
      <w:r w:rsidR="00022D67">
        <w:rPr>
          <w:rFonts w:cs="ACaslonPro-Regular"/>
          <w:sz w:val="24"/>
          <w:szCs w:val="24"/>
        </w:rPr>
        <w:t xml:space="preserve"> and may present at any age</w:t>
      </w:r>
      <w:r w:rsidR="000B7A8C">
        <w:rPr>
          <w:rFonts w:cs="ACaslonPro-Regular"/>
          <w:sz w:val="24"/>
          <w:szCs w:val="24"/>
        </w:rPr>
        <w:t xml:space="preserve">. </w:t>
      </w:r>
      <w:r w:rsidRPr="00DA1498">
        <w:rPr>
          <w:rFonts w:cs="ACaslonPro-Regular"/>
          <w:sz w:val="24"/>
          <w:szCs w:val="24"/>
        </w:rPr>
        <w:t>Although metastases are the most common</w:t>
      </w:r>
      <w:r w:rsidR="000B7A8C">
        <w:rPr>
          <w:rFonts w:cs="ACaslonPro-Regular"/>
          <w:sz w:val="24"/>
          <w:szCs w:val="24"/>
        </w:rPr>
        <w:t xml:space="preserve"> </w:t>
      </w:r>
      <w:r w:rsidRPr="00DA1498">
        <w:rPr>
          <w:rFonts w:cs="ACaslonPro-Regular"/>
          <w:sz w:val="24"/>
          <w:szCs w:val="24"/>
        </w:rPr>
        <w:t>mass lesions in head and neck, a wide variety</w:t>
      </w:r>
      <w:r w:rsidR="00DA1498" w:rsidRPr="00DA1498">
        <w:rPr>
          <w:rFonts w:cs="ACaslonPro-Regular"/>
          <w:sz w:val="24"/>
          <w:szCs w:val="24"/>
        </w:rPr>
        <w:t xml:space="preserve"> </w:t>
      </w:r>
      <w:r w:rsidRPr="00DA1498">
        <w:rPr>
          <w:rFonts w:cs="ACaslonPro-Regular"/>
          <w:sz w:val="24"/>
          <w:szCs w:val="24"/>
        </w:rPr>
        <w:t>of both benign and malignant neoplasms</w:t>
      </w:r>
      <w:r w:rsidR="00EC16FB">
        <w:rPr>
          <w:rFonts w:cs="ACaslonPro-Regular"/>
          <w:sz w:val="24"/>
          <w:szCs w:val="24"/>
        </w:rPr>
        <w:t xml:space="preserve"> </w:t>
      </w:r>
      <w:r w:rsidRPr="00DA1498">
        <w:rPr>
          <w:rFonts w:cs="ACaslonPro-Regular"/>
          <w:sz w:val="24"/>
          <w:szCs w:val="24"/>
        </w:rPr>
        <w:t>including rare conditions, may arise primarily</w:t>
      </w:r>
      <w:r w:rsidR="00DA1498" w:rsidRPr="00DA1498">
        <w:rPr>
          <w:rFonts w:cs="ACaslonPro-Regular"/>
          <w:sz w:val="24"/>
          <w:szCs w:val="24"/>
        </w:rPr>
        <w:t xml:space="preserve"> </w:t>
      </w:r>
      <w:r w:rsidRPr="00DA1498">
        <w:rPr>
          <w:rFonts w:cs="ACaslonPro-Regular"/>
          <w:sz w:val="24"/>
          <w:szCs w:val="24"/>
        </w:rPr>
        <w:t>in this anatomic site.</w:t>
      </w:r>
      <w:r w:rsidR="000B7A8C">
        <w:rPr>
          <w:rFonts w:cs="ACaslonPro-Regular"/>
          <w:sz w:val="24"/>
          <w:szCs w:val="24"/>
        </w:rPr>
        <w:t xml:space="preserve"> This video microscopy tutorial utilizes glass slides to review </w:t>
      </w:r>
      <w:r w:rsidRPr="00DA1498">
        <w:rPr>
          <w:rFonts w:cs="ACaslonPro-Regular"/>
          <w:sz w:val="24"/>
          <w:szCs w:val="24"/>
        </w:rPr>
        <w:t>c</w:t>
      </w:r>
      <w:r w:rsidR="000B7A8C">
        <w:rPr>
          <w:rFonts w:cs="ACaslonPro-Regular"/>
          <w:sz w:val="24"/>
          <w:szCs w:val="24"/>
        </w:rPr>
        <w:t>ytomorphologic features</w:t>
      </w:r>
      <w:r w:rsidRPr="00DA1498">
        <w:rPr>
          <w:rFonts w:cs="ACaslonPro-Regular"/>
          <w:sz w:val="24"/>
          <w:szCs w:val="24"/>
        </w:rPr>
        <w:t xml:space="preserve"> of </w:t>
      </w:r>
      <w:r w:rsidR="000B7A8C">
        <w:rPr>
          <w:rFonts w:cs="ACaslonPro-Regular"/>
          <w:sz w:val="24"/>
          <w:szCs w:val="24"/>
        </w:rPr>
        <w:t xml:space="preserve">challenging </w:t>
      </w:r>
      <w:r w:rsidRPr="00DA1498">
        <w:rPr>
          <w:rFonts w:cs="ACaslonPro-Regular"/>
          <w:sz w:val="24"/>
          <w:szCs w:val="24"/>
        </w:rPr>
        <w:t>head and neck mass lesions</w:t>
      </w:r>
      <w:r w:rsidR="00DA1498" w:rsidRPr="00DA1498">
        <w:rPr>
          <w:rFonts w:cs="ACaslonPro-Regular"/>
          <w:sz w:val="24"/>
          <w:szCs w:val="24"/>
        </w:rPr>
        <w:t xml:space="preserve"> </w:t>
      </w:r>
      <w:r w:rsidRPr="00DA1498">
        <w:rPr>
          <w:rFonts w:cs="ACaslonPro-Regular"/>
          <w:sz w:val="24"/>
          <w:szCs w:val="24"/>
        </w:rPr>
        <w:t>along with differential diagnosis.</w:t>
      </w:r>
      <w:r w:rsidR="00964E14">
        <w:rPr>
          <w:rFonts w:cs="ACaslonPro-Regular"/>
          <w:sz w:val="24"/>
          <w:szCs w:val="24"/>
        </w:rPr>
        <w:t xml:space="preserve"> </w:t>
      </w:r>
      <w:r w:rsidR="00AA4896">
        <w:rPr>
          <w:rFonts w:cs="ACaslonPro-Regular"/>
          <w:sz w:val="24"/>
          <w:szCs w:val="24"/>
        </w:rPr>
        <w:t>The ancillary tests will be discussed when it is</w:t>
      </w:r>
      <w:r w:rsidR="005C6F73">
        <w:rPr>
          <w:rFonts w:cs="ACaslonPro-Regular"/>
          <w:sz w:val="24"/>
          <w:szCs w:val="24"/>
        </w:rPr>
        <w:t xml:space="preserve"> applicable.  </w:t>
      </w:r>
      <w:r w:rsidR="00964E14">
        <w:rPr>
          <w:rFonts w:cs="ACaslonPro-Regular"/>
          <w:sz w:val="24"/>
          <w:szCs w:val="24"/>
        </w:rPr>
        <w:t xml:space="preserve">In addition, it will review </w:t>
      </w:r>
      <w:r w:rsidR="005C6F73">
        <w:rPr>
          <w:rFonts w:cs="ACaslonPro-Regular"/>
          <w:sz w:val="24"/>
          <w:szCs w:val="24"/>
        </w:rPr>
        <w:t xml:space="preserve">several </w:t>
      </w:r>
      <w:r w:rsidR="00964E14">
        <w:rPr>
          <w:rFonts w:cs="ACaslonPro-Regular"/>
          <w:sz w:val="24"/>
          <w:szCs w:val="24"/>
        </w:rPr>
        <w:t xml:space="preserve">examples of HPV-related head and neck squamous cell carcinomas. </w:t>
      </w:r>
    </w:p>
    <w:p w:rsidR="00DA1498" w:rsidRPr="00DA1498" w:rsidRDefault="00DA1498" w:rsidP="00DA1498">
      <w:pPr>
        <w:autoSpaceDE w:val="0"/>
        <w:autoSpaceDN w:val="0"/>
        <w:adjustRightInd w:val="0"/>
        <w:spacing w:after="0" w:line="240" w:lineRule="auto"/>
        <w:rPr>
          <w:rFonts w:cs="ACaslonPro-Regular"/>
          <w:sz w:val="24"/>
          <w:szCs w:val="24"/>
        </w:rPr>
      </w:pPr>
    </w:p>
    <w:p w:rsidR="00DA1498" w:rsidRPr="00DA1498" w:rsidRDefault="00DA1498" w:rsidP="00DA1498">
      <w:pPr>
        <w:autoSpaceDE w:val="0"/>
        <w:autoSpaceDN w:val="0"/>
        <w:adjustRightInd w:val="0"/>
        <w:spacing w:after="0" w:line="240" w:lineRule="auto"/>
        <w:rPr>
          <w:b/>
          <w:bCs/>
          <w:sz w:val="24"/>
          <w:szCs w:val="24"/>
        </w:rPr>
      </w:pPr>
      <w:r w:rsidRPr="00DA1498">
        <w:rPr>
          <w:b/>
          <w:bCs/>
          <w:sz w:val="24"/>
          <w:szCs w:val="24"/>
        </w:rPr>
        <w:t>Learning Needs/Professional Practice Gaps Addressed:</w:t>
      </w:r>
    </w:p>
    <w:p w:rsidR="00DA1498" w:rsidRPr="00DA1498" w:rsidRDefault="00DA1498" w:rsidP="00DA1498">
      <w:pPr>
        <w:autoSpaceDE w:val="0"/>
        <w:autoSpaceDN w:val="0"/>
        <w:adjustRightInd w:val="0"/>
        <w:spacing w:after="0" w:line="240" w:lineRule="auto"/>
        <w:rPr>
          <w:b/>
          <w:bCs/>
          <w:sz w:val="24"/>
          <w:szCs w:val="24"/>
        </w:rPr>
      </w:pPr>
    </w:p>
    <w:p w:rsidR="00DA1498" w:rsidRDefault="00DA1498" w:rsidP="00DA1498">
      <w:pPr>
        <w:autoSpaceDE w:val="0"/>
        <w:autoSpaceDN w:val="0"/>
        <w:adjustRightInd w:val="0"/>
        <w:spacing w:after="0" w:line="240" w:lineRule="auto"/>
        <w:rPr>
          <w:sz w:val="24"/>
          <w:szCs w:val="24"/>
        </w:rPr>
      </w:pPr>
      <w:r w:rsidRPr="00DA1498">
        <w:rPr>
          <w:sz w:val="24"/>
          <w:szCs w:val="24"/>
        </w:rPr>
        <w:t>How will the proposed educational session address an identified professional practice gap? (Maximum 1250 characters)</w:t>
      </w:r>
    </w:p>
    <w:p w:rsidR="008C168B" w:rsidRDefault="008C168B" w:rsidP="00DA1498">
      <w:pPr>
        <w:autoSpaceDE w:val="0"/>
        <w:autoSpaceDN w:val="0"/>
        <w:adjustRightInd w:val="0"/>
        <w:spacing w:after="0" w:line="240" w:lineRule="auto"/>
        <w:rPr>
          <w:sz w:val="24"/>
          <w:szCs w:val="24"/>
        </w:rPr>
      </w:pPr>
    </w:p>
    <w:p w:rsidR="008C168B" w:rsidRDefault="005C6F73" w:rsidP="00DA1498">
      <w:pPr>
        <w:autoSpaceDE w:val="0"/>
        <w:autoSpaceDN w:val="0"/>
        <w:adjustRightInd w:val="0"/>
        <w:spacing w:after="0" w:line="240" w:lineRule="auto"/>
        <w:rPr>
          <w:sz w:val="24"/>
          <w:szCs w:val="24"/>
        </w:rPr>
      </w:pPr>
      <w:r>
        <w:rPr>
          <w:sz w:val="24"/>
          <w:szCs w:val="24"/>
        </w:rPr>
        <w:t>H</w:t>
      </w:r>
      <w:r w:rsidR="008C168B">
        <w:rPr>
          <w:sz w:val="24"/>
          <w:szCs w:val="24"/>
        </w:rPr>
        <w:t xml:space="preserve">ead and neck mass lesions are relatively uncommon. They can present at any age as a painless or painful mass. The mass can be solid or cystic with a rapid or slow growth pattern. The underlying cause of the mass is widely variable including congenital, inflammatory/infectious, </w:t>
      </w:r>
      <w:r w:rsidR="00423063">
        <w:rPr>
          <w:sz w:val="24"/>
          <w:szCs w:val="24"/>
        </w:rPr>
        <w:t>and neoplasms. Recognition of these different entities and a definitive diagnosis is necessary for patient care. Furthermore, the clinicians may request additional testing for patient care</w:t>
      </w:r>
      <w:r>
        <w:rPr>
          <w:sz w:val="24"/>
          <w:szCs w:val="24"/>
        </w:rPr>
        <w:t>,</w:t>
      </w:r>
      <w:r w:rsidR="00423063">
        <w:rPr>
          <w:sz w:val="24"/>
          <w:szCs w:val="24"/>
        </w:rPr>
        <w:t xml:space="preserve"> for instance</w:t>
      </w:r>
      <w:r>
        <w:rPr>
          <w:sz w:val="24"/>
          <w:szCs w:val="24"/>
        </w:rPr>
        <w:t>,</w:t>
      </w:r>
      <w:r w:rsidR="00423063">
        <w:rPr>
          <w:sz w:val="24"/>
          <w:szCs w:val="24"/>
        </w:rPr>
        <w:t xml:space="preserve"> HPV testing in head and neck squamous cell carcinomas. Rarity of these lesions is the main reason for </w:t>
      </w:r>
      <w:r w:rsidR="004416B3">
        <w:rPr>
          <w:sz w:val="24"/>
          <w:szCs w:val="24"/>
        </w:rPr>
        <w:t xml:space="preserve">not </w:t>
      </w:r>
      <w:r w:rsidR="00423063">
        <w:rPr>
          <w:sz w:val="24"/>
          <w:szCs w:val="24"/>
        </w:rPr>
        <w:t xml:space="preserve">gaining </w:t>
      </w:r>
      <w:r w:rsidR="004416B3">
        <w:rPr>
          <w:sz w:val="24"/>
          <w:szCs w:val="24"/>
        </w:rPr>
        <w:t>much experience</w:t>
      </w:r>
      <w:r>
        <w:rPr>
          <w:sz w:val="24"/>
          <w:szCs w:val="24"/>
        </w:rPr>
        <w:t>,</w:t>
      </w:r>
      <w:r w:rsidR="004416B3">
        <w:rPr>
          <w:sz w:val="24"/>
          <w:szCs w:val="24"/>
        </w:rPr>
        <w:t xml:space="preserve"> particularly in pathology practices with relatively low volume. </w:t>
      </w:r>
      <w:r w:rsidR="004710A4">
        <w:rPr>
          <w:sz w:val="24"/>
          <w:szCs w:val="24"/>
        </w:rPr>
        <w:t xml:space="preserve"> </w:t>
      </w:r>
    </w:p>
    <w:p w:rsidR="005C6F73" w:rsidRDefault="005C6F73" w:rsidP="00DA1498">
      <w:pPr>
        <w:autoSpaceDE w:val="0"/>
        <w:autoSpaceDN w:val="0"/>
        <w:adjustRightInd w:val="0"/>
        <w:spacing w:after="0" w:line="240" w:lineRule="auto"/>
        <w:rPr>
          <w:sz w:val="24"/>
          <w:szCs w:val="24"/>
        </w:rPr>
      </w:pPr>
    </w:p>
    <w:p w:rsidR="004710A4" w:rsidRPr="00DA1498" w:rsidRDefault="004710A4" w:rsidP="00DA1498">
      <w:pPr>
        <w:autoSpaceDE w:val="0"/>
        <w:autoSpaceDN w:val="0"/>
        <w:adjustRightInd w:val="0"/>
        <w:spacing w:after="0" w:line="240" w:lineRule="auto"/>
        <w:rPr>
          <w:sz w:val="24"/>
          <w:szCs w:val="24"/>
        </w:rPr>
      </w:pPr>
      <w:r>
        <w:rPr>
          <w:sz w:val="24"/>
          <w:szCs w:val="24"/>
        </w:rPr>
        <w:t xml:space="preserve">This video microscopy tutorial will cover challenging and less common cases in head and neck cytopathology. The cytomorphology of these cases will be reviewed and the ancillary tests will be discussed when it is necessary for a definitive diagnosis. </w:t>
      </w:r>
    </w:p>
    <w:p w:rsidR="00DA1498" w:rsidRPr="00DA1498" w:rsidRDefault="00DA1498" w:rsidP="00DA1498">
      <w:pPr>
        <w:autoSpaceDE w:val="0"/>
        <w:autoSpaceDN w:val="0"/>
        <w:adjustRightInd w:val="0"/>
        <w:spacing w:after="0" w:line="240" w:lineRule="auto"/>
        <w:rPr>
          <w:sz w:val="24"/>
          <w:szCs w:val="24"/>
        </w:rPr>
      </w:pP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9360"/>
      </w:tblGrid>
      <w:tr w:rsidR="00DA1498" w:rsidRPr="00DA1498" w:rsidTr="00DA1498">
        <w:trPr>
          <w:tblCellSpacing w:w="15" w:type="dxa"/>
          <w:jc w:val="center"/>
        </w:trPr>
        <w:tc>
          <w:tcPr>
            <w:tcW w:w="0" w:type="auto"/>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DA1498" w:rsidRPr="00DA1498">
              <w:trPr>
                <w:tblCellSpacing w:w="15" w:type="dxa"/>
              </w:trPr>
              <w:tc>
                <w:tcPr>
                  <w:tcW w:w="0" w:type="auto"/>
                  <w:hideMark/>
                </w:tcPr>
                <w:p w:rsidR="00DA1498" w:rsidRPr="00DA1498" w:rsidRDefault="00DA1498" w:rsidP="00DA1498">
                  <w:pPr>
                    <w:spacing w:after="0" w:line="240" w:lineRule="auto"/>
                    <w:jc w:val="center"/>
                    <w:rPr>
                      <w:rFonts w:eastAsia="Times New Roman" w:cs="Times New Roman"/>
                      <w:sz w:val="24"/>
                      <w:szCs w:val="24"/>
                    </w:rPr>
                  </w:pPr>
                </w:p>
              </w:tc>
            </w:tr>
          </w:tbl>
          <w:p w:rsidR="00DA1498" w:rsidRPr="00DA1498" w:rsidRDefault="00DA1498" w:rsidP="00DA1498">
            <w:pPr>
              <w:spacing w:after="0" w:line="240" w:lineRule="auto"/>
              <w:rPr>
                <w:rFonts w:eastAsia="Times New Roman" w:cs="Times New Roman"/>
                <w:sz w:val="24"/>
                <w:szCs w:val="24"/>
              </w:rPr>
            </w:pPr>
          </w:p>
        </w:tc>
      </w:tr>
      <w:tr w:rsidR="00DA1498" w:rsidRPr="00DA1498" w:rsidTr="00DA1498">
        <w:trPr>
          <w:tblCellSpacing w:w="15" w:type="dxa"/>
          <w:jc w:val="center"/>
        </w:trPr>
        <w:tc>
          <w:tcPr>
            <w:tcW w:w="0" w:type="auto"/>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270"/>
            </w:tblGrid>
            <w:tr w:rsidR="00DA1498" w:rsidRPr="00DA1498">
              <w:trPr>
                <w:tblCellSpacing w:w="15" w:type="dxa"/>
              </w:trPr>
              <w:tc>
                <w:tcPr>
                  <w:tcW w:w="0" w:type="auto"/>
                  <w:vAlign w:val="center"/>
                  <w:hideMark/>
                </w:tcPr>
                <w:p w:rsidR="00DA1498" w:rsidRDefault="00DA1498" w:rsidP="00DA1498">
                  <w:pPr>
                    <w:spacing w:after="0" w:line="240" w:lineRule="auto"/>
                    <w:rPr>
                      <w:rFonts w:eastAsia="Times New Roman" w:cs="Times New Roman"/>
                      <w:sz w:val="24"/>
                      <w:szCs w:val="24"/>
                    </w:rPr>
                  </w:pPr>
                  <w:r w:rsidRPr="00DA1498">
                    <w:rPr>
                      <w:rFonts w:eastAsia="Times New Roman" w:cs="Times New Roman"/>
                      <w:b/>
                      <w:bCs/>
                      <w:sz w:val="24"/>
                      <w:szCs w:val="24"/>
                    </w:rPr>
                    <w:t>What evidence</w:t>
                  </w:r>
                  <w:r w:rsidRPr="00DA1498">
                    <w:rPr>
                      <w:rFonts w:eastAsia="Times New Roman" w:cs="Times New Roman"/>
                      <w:sz w:val="24"/>
                      <w:szCs w:val="24"/>
                    </w:rPr>
                    <w:t xml:space="preserve"> demonstrates a need for this educational session among pathologists and/or laboratory professionals? (Maximum 1250 characters)</w:t>
                  </w:r>
                </w:p>
                <w:p w:rsidR="00646B4D" w:rsidRDefault="00646B4D" w:rsidP="00DA1498">
                  <w:pPr>
                    <w:spacing w:after="0" w:line="240" w:lineRule="auto"/>
                    <w:rPr>
                      <w:rFonts w:eastAsia="Times New Roman" w:cs="Times New Roman"/>
                      <w:sz w:val="24"/>
                      <w:szCs w:val="24"/>
                    </w:rPr>
                  </w:pPr>
                </w:p>
                <w:p w:rsidR="00646B4D" w:rsidRDefault="00646B4D" w:rsidP="00DA1498">
                  <w:pPr>
                    <w:spacing w:after="0" w:line="240" w:lineRule="auto"/>
                    <w:rPr>
                      <w:rFonts w:eastAsia="Times New Roman" w:cs="Times New Roman"/>
                      <w:sz w:val="24"/>
                      <w:szCs w:val="24"/>
                    </w:rPr>
                  </w:pPr>
                  <w:r>
                    <w:rPr>
                      <w:rFonts w:eastAsia="Times New Roman" w:cs="Times New Roman"/>
                      <w:sz w:val="24"/>
                      <w:szCs w:val="24"/>
                    </w:rPr>
                    <w:t>We</w:t>
                  </w:r>
                  <w:r w:rsidR="005C6F73">
                    <w:rPr>
                      <w:rFonts w:eastAsia="Times New Roman" w:cs="Times New Roman"/>
                      <w:sz w:val="24"/>
                      <w:szCs w:val="24"/>
                    </w:rPr>
                    <w:t xml:space="preserve"> at Johns Hopkins</w:t>
                  </w:r>
                  <w:r w:rsidR="00C73076">
                    <w:rPr>
                      <w:rFonts w:eastAsia="Times New Roman" w:cs="Times New Roman"/>
                      <w:sz w:val="24"/>
                      <w:szCs w:val="24"/>
                    </w:rPr>
                    <w:t xml:space="preserve"> Medicine, </w:t>
                  </w:r>
                  <w:r>
                    <w:rPr>
                      <w:rFonts w:eastAsia="Times New Roman" w:cs="Times New Roman"/>
                      <w:sz w:val="24"/>
                      <w:szCs w:val="24"/>
                    </w:rPr>
                    <w:t xml:space="preserve">a large academic institution, receive </w:t>
                  </w:r>
                  <w:r w:rsidR="005C6F73">
                    <w:rPr>
                      <w:rFonts w:eastAsia="Times New Roman" w:cs="Times New Roman"/>
                      <w:sz w:val="24"/>
                      <w:szCs w:val="24"/>
                    </w:rPr>
                    <w:t xml:space="preserve">many outside </w:t>
                  </w:r>
                  <w:r>
                    <w:rPr>
                      <w:rFonts w:eastAsia="Times New Roman" w:cs="Times New Roman"/>
                      <w:sz w:val="24"/>
                      <w:szCs w:val="24"/>
                    </w:rPr>
                    <w:t xml:space="preserve">consultation cases of head and neck cytology cases which is evidence of </w:t>
                  </w:r>
                  <w:r w:rsidR="005C6F73">
                    <w:rPr>
                      <w:rFonts w:eastAsia="Times New Roman" w:cs="Times New Roman"/>
                      <w:sz w:val="24"/>
                      <w:szCs w:val="24"/>
                    </w:rPr>
                    <w:t xml:space="preserve">a </w:t>
                  </w:r>
                  <w:r>
                    <w:rPr>
                      <w:rFonts w:eastAsia="Times New Roman" w:cs="Times New Roman"/>
                      <w:sz w:val="24"/>
                      <w:szCs w:val="24"/>
                    </w:rPr>
                    <w:t>need for this educational session.</w:t>
                  </w:r>
                  <w:r w:rsidR="005C6F73">
                    <w:rPr>
                      <w:rFonts w:eastAsia="Times New Roman" w:cs="Times New Roman"/>
                      <w:sz w:val="24"/>
                      <w:szCs w:val="24"/>
                    </w:rPr>
                    <w:t xml:space="preserve"> </w:t>
                  </w:r>
                  <w:r>
                    <w:rPr>
                      <w:rFonts w:eastAsia="Times New Roman" w:cs="Times New Roman"/>
                      <w:sz w:val="24"/>
                      <w:szCs w:val="24"/>
                    </w:rPr>
                    <w:t xml:space="preserve"> </w:t>
                  </w:r>
                  <w:r w:rsidR="00522A1C">
                    <w:rPr>
                      <w:rFonts w:eastAsia="Times New Roman" w:cs="Times New Roman"/>
                      <w:sz w:val="24"/>
                      <w:szCs w:val="24"/>
                    </w:rPr>
                    <w:t xml:space="preserve">There are </w:t>
                  </w:r>
                  <w:r w:rsidR="005C6F73">
                    <w:rPr>
                      <w:rFonts w:eastAsia="Times New Roman" w:cs="Times New Roman"/>
                      <w:sz w:val="24"/>
                      <w:szCs w:val="24"/>
                    </w:rPr>
                    <w:t xml:space="preserve">many challenging </w:t>
                  </w:r>
                  <w:r w:rsidR="00522A1C">
                    <w:rPr>
                      <w:rFonts w:eastAsia="Times New Roman" w:cs="Times New Roman"/>
                      <w:sz w:val="24"/>
                      <w:szCs w:val="24"/>
                    </w:rPr>
                    <w:t>consult cases</w:t>
                  </w:r>
                  <w:r w:rsidR="005C6F73">
                    <w:rPr>
                      <w:rFonts w:eastAsia="Times New Roman" w:cs="Times New Roman"/>
                      <w:sz w:val="24"/>
                      <w:szCs w:val="24"/>
                    </w:rPr>
                    <w:t xml:space="preserve"> due to their unique cytomorphology</w:t>
                  </w:r>
                  <w:r w:rsidR="00522A1C">
                    <w:rPr>
                      <w:rFonts w:eastAsia="Times New Roman" w:cs="Times New Roman"/>
                      <w:sz w:val="24"/>
                      <w:szCs w:val="24"/>
                    </w:rPr>
                    <w:t xml:space="preserve"> that </w:t>
                  </w:r>
                  <w:r w:rsidR="005C6F73">
                    <w:rPr>
                      <w:rFonts w:eastAsia="Times New Roman" w:cs="Times New Roman"/>
                      <w:sz w:val="24"/>
                      <w:szCs w:val="24"/>
                    </w:rPr>
                    <w:t xml:space="preserve">require even consultation within the Division of Cytopathology.   </w:t>
                  </w:r>
                </w:p>
                <w:p w:rsidR="00646B4D" w:rsidRDefault="00646B4D" w:rsidP="00DA1498">
                  <w:pPr>
                    <w:spacing w:after="0" w:line="240" w:lineRule="auto"/>
                    <w:rPr>
                      <w:rFonts w:eastAsia="Times New Roman" w:cs="Times New Roman"/>
                      <w:sz w:val="24"/>
                      <w:szCs w:val="24"/>
                    </w:rPr>
                  </w:pPr>
                  <w:r>
                    <w:rPr>
                      <w:rFonts w:eastAsia="Times New Roman" w:cs="Times New Roman"/>
                      <w:sz w:val="24"/>
                      <w:szCs w:val="24"/>
                    </w:rPr>
                    <w:lastRenderedPageBreak/>
                    <w:t>Head and neck cytology constitutes a small percentage of cytology cases even in a large academic institution, such as where I practice</w:t>
                  </w:r>
                  <w:r w:rsidR="00C73076">
                    <w:rPr>
                      <w:rFonts w:eastAsia="Times New Roman" w:cs="Times New Roman"/>
                      <w:sz w:val="24"/>
                      <w:szCs w:val="24"/>
                    </w:rPr>
                    <w:t>,</w:t>
                  </w:r>
                  <w:r>
                    <w:rPr>
                      <w:rFonts w:eastAsia="Times New Roman" w:cs="Times New Roman"/>
                      <w:sz w:val="24"/>
                      <w:szCs w:val="24"/>
                    </w:rPr>
                    <w:t xml:space="preserve"> with a very active </w:t>
                  </w:r>
                  <w:r w:rsidR="005C6F73">
                    <w:rPr>
                      <w:rFonts w:eastAsia="Times New Roman" w:cs="Times New Roman"/>
                      <w:sz w:val="24"/>
                      <w:szCs w:val="24"/>
                    </w:rPr>
                    <w:t>d</w:t>
                  </w:r>
                  <w:r>
                    <w:rPr>
                      <w:rFonts w:eastAsia="Times New Roman" w:cs="Times New Roman"/>
                      <w:sz w:val="24"/>
                      <w:szCs w:val="24"/>
                    </w:rPr>
                    <w:t xml:space="preserve">epartment of otolaryngology. </w:t>
                  </w:r>
                </w:p>
                <w:p w:rsidR="005C6F73" w:rsidRDefault="005C6F73" w:rsidP="00DA1498">
                  <w:pPr>
                    <w:spacing w:after="0" w:line="240" w:lineRule="auto"/>
                    <w:rPr>
                      <w:rFonts w:eastAsia="Times New Roman" w:cs="Times New Roman"/>
                      <w:sz w:val="24"/>
                      <w:szCs w:val="24"/>
                    </w:rPr>
                  </w:pPr>
                </w:p>
                <w:p w:rsidR="00646B4D" w:rsidRDefault="00646B4D" w:rsidP="00DA1498">
                  <w:pPr>
                    <w:spacing w:after="0" w:line="240" w:lineRule="auto"/>
                    <w:rPr>
                      <w:rFonts w:eastAsia="Times New Roman" w:cs="Times New Roman"/>
                      <w:sz w:val="24"/>
                      <w:szCs w:val="24"/>
                    </w:rPr>
                  </w:pPr>
                  <w:r>
                    <w:rPr>
                      <w:rFonts w:eastAsia="Times New Roman" w:cs="Times New Roman"/>
                      <w:sz w:val="24"/>
                      <w:szCs w:val="24"/>
                    </w:rPr>
                    <w:t xml:space="preserve">Reviewing the literature, there are a large number of head and neck cytology case reports </w:t>
                  </w:r>
                  <w:r w:rsidR="005C6F73">
                    <w:rPr>
                      <w:rFonts w:eastAsia="Times New Roman" w:cs="Times New Roman"/>
                      <w:sz w:val="24"/>
                      <w:szCs w:val="24"/>
                    </w:rPr>
                    <w:t>but there are not many original articles of large series.</w:t>
                  </w:r>
                  <w:r>
                    <w:rPr>
                      <w:rFonts w:eastAsia="Times New Roman" w:cs="Times New Roman"/>
                      <w:sz w:val="24"/>
                      <w:szCs w:val="24"/>
                    </w:rPr>
                    <w:t xml:space="preserve"> </w:t>
                  </w:r>
                </w:p>
                <w:p w:rsidR="005C6F73" w:rsidRDefault="005C6F73" w:rsidP="00DA1498">
                  <w:pPr>
                    <w:spacing w:after="0" w:line="240" w:lineRule="auto"/>
                    <w:rPr>
                      <w:rFonts w:eastAsia="Times New Roman" w:cs="Times New Roman"/>
                      <w:sz w:val="24"/>
                      <w:szCs w:val="24"/>
                    </w:rPr>
                  </w:pPr>
                </w:p>
                <w:p w:rsidR="001F004D" w:rsidRDefault="001F004D" w:rsidP="00DA1498">
                  <w:pPr>
                    <w:spacing w:after="0" w:line="240" w:lineRule="auto"/>
                    <w:rPr>
                      <w:rFonts w:eastAsia="Times New Roman" w:cs="Times New Roman"/>
                      <w:sz w:val="24"/>
                      <w:szCs w:val="24"/>
                    </w:rPr>
                  </w:pPr>
                  <w:r>
                    <w:rPr>
                      <w:rFonts w:eastAsia="Times New Roman" w:cs="Times New Roman"/>
                      <w:sz w:val="24"/>
                      <w:szCs w:val="24"/>
                    </w:rPr>
                    <w:t>There are a considerable number of occult malignancies initially presented as a metastatic lesion in head and neck which requires the pathologist’s expe</w:t>
                  </w:r>
                  <w:r w:rsidR="005C6F73">
                    <w:rPr>
                      <w:rFonts w:eastAsia="Times New Roman" w:cs="Times New Roman"/>
                      <w:sz w:val="24"/>
                      <w:szCs w:val="24"/>
                    </w:rPr>
                    <w:t>rtise</w:t>
                  </w:r>
                  <w:r>
                    <w:rPr>
                      <w:rFonts w:eastAsia="Times New Roman" w:cs="Times New Roman"/>
                      <w:sz w:val="24"/>
                      <w:szCs w:val="24"/>
                    </w:rPr>
                    <w:t xml:space="preserve"> to work up these cases. </w:t>
                  </w:r>
                </w:p>
                <w:p w:rsidR="00646B4D" w:rsidRDefault="00646B4D" w:rsidP="00DA1498">
                  <w:pPr>
                    <w:spacing w:after="0" w:line="240" w:lineRule="auto"/>
                    <w:rPr>
                      <w:rFonts w:eastAsia="Times New Roman" w:cs="Times New Roman"/>
                      <w:sz w:val="24"/>
                      <w:szCs w:val="24"/>
                    </w:rPr>
                  </w:pPr>
                  <w:r>
                    <w:rPr>
                      <w:rFonts w:eastAsia="Times New Roman" w:cs="Times New Roman"/>
                      <w:sz w:val="24"/>
                      <w:szCs w:val="24"/>
                    </w:rPr>
                    <w:t xml:space="preserve">All of the above </w:t>
                  </w:r>
                  <w:r w:rsidR="001F004D">
                    <w:rPr>
                      <w:rFonts w:eastAsia="Times New Roman" w:cs="Times New Roman"/>
                      <w:sz w:val="24"/>
                      <w:szCs w:val="24"/>
                    </w:rPr>
                    <w:t xml:space="preserve">facts are convincing </w:t>
                  </w:r>
                  <w:r>
                    <w:rPr>
                      <w:rFonts w:eastAsia="Times New Roman" w:cs="Times New Roman"/>
                      <w:sz w:val="24"/>
                      <w:szCs w:val="24"/>
                    </w:rPr>
                    <w:t xml:space="preserve">evidence of a need for this educational session. </w:t>
                  </w:r>
                </w:p>
                <w:p w:rsidR="00646B4D" w:rsidRDefault="00646B4D" w:rsidP="00DA1498">
                  <w:pPr>
                    <w:spacing w:after="0" w:line="240" w:lineRule="auto"/>
                    <w:rPr>
                      <w:rFonts w:eastAsia="Times New Roman" w:cs="Times New Roman"/>
                      <w:sz w:val="24"/>
                      <w:szCs w:val="24"/>
                    </w:rPr>
                  </w:pPr>
                </w:p>
                <w:p w:rsidR="00646B4D" w:rsidRPr="00DA1498" w:rsidRDefault="00646B4D" w:rsidP="00DA1498">
                  <w:pPr>
                    <w:spacing w:after="0" w:line="240" w:lineRule="auto"/>
                    <w:rPr>
                      <w:rFonts w:eastAsia="Times New Roman" w:cs="Times New Roman"/>
                      <w:sz w:val="24"/>
                      <w:szCs w:val="24"/>
                    </w:rPr>
                  </w:pPr>
                </w:p>
                <w:p w:rsidR="00DA1498" w:rsidRPr="00DA1498" w:rsidRDefault="00DA1498" w:rsidP="00DA1498">
                  <w:pPr>
                    <w:spacing w:after="0" w:line="240" w:lineRule="auto"/>
                    <w:rPr>
                      <w:rFonts w:eastAsia="Times New Roman" w:cs="Times New Roman"/>
                      <w:sz w:val="24"/>
                      <w:szCs w:val="24"/>
                    </w:rPr>
                  </w:pPr>
                </w:p>
                <w:p w:rsidR="00DA1498" w:rsidRPr="00DA1498" w:rsidRDefault="00DA1498" w:rsidP="00DA1498">
                  <w:pPr>
                    <w:spacing w:after="0" w:line="240" w:lineRule="auto"/>
                    <w:rPr>
                      <w:rFonts w:eastAsia="Times New Roman" w:cs="Times New Roman"/>
                      <w:sz w:val="24"/>
                      <w:szCs w:val="24"/>
                    </w:rPr>
                  </w:pPr>
                </w:p>
                <w:p w:rsidR="00DA1498" w:rsidRPr="00DA1498" w:rsidRDefault="00DA1498" w:rsidP="00DA1498">
                  <w:pPr>
                    <w:spacing w:after="0" w:line="240" w:lineRule="auto"/>
                    <w:rPr>
                      <w:rFonts w:eastAsia="Times New Roman" w:cs="Times New Roman"/>
                      <w:sz w:val="24"/>
                      <w:szCs w:val="24"/>
                    </w:rPr>
                  </w:pPr>
                </w:p>
              </w:tc>
            </w:tr>
          </w:tbl>
          <w:p w:rsidR="00DA1498" w:rsidRPr="00DA1498" w:rsidRDefault="00DA1498" w:rsidP="00DA1498">
            <w:pPr>
              <w:spacing w:after="0" w:line="240" w:lineRule="auto"/>
              <w:rPr>
                <w:rFonts w:eastAsia="Times New Roman" w:cs="Times New Roman"/>
                <w:sz w:val="24"/>
                <w:szCs w:val="24"/>
              </w:rPr>
            </w:pPr>
          </w:p>
        </w:tc>
      </w:tr>
      <w:tr w:rsidR="00DA1498" w:rsidRPr="00DA1498" w:rsidTr="00DA1498">
        <w:trPr>
          <w:tblCellSpacing w:w="15" w:type="dxa"/>
          <w:jc w:val="center"/>
        </w:trPr>
        <w:tc>
          <w:tcPr>
            <w:tcW w:w="0" w:type="auto"/>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270"/>
            </w:tblGrid>
            <w:tr w:rsidR="00DA1498" w:rsidRPr="00DA1498">
              <w:trPr>
                <w:tblCellSpacing w:w="15" w:type="dxa"/>
              </w:trPr>
              <w:tc>
                <w:tcPr>
                  <w:tcW w:w="0" w:type="auto"/>
                  <w:vAlign w:val="center"/>
                  <w:hideMark/>
                </w:tcPr>
                <w:p w:rsidR="00DA1498" w:rsidRPr="00DA1498" w:rsidRDefault="00DA1498" w:rsidP="00DA1498">
                  <w:pPr>
                    <w:spacing w:after="0" w:line="240" w:lineRule="auto"/>
                    <w:rPr>
                      <w:rFonts w:eastAsia="Times New Roman" w:cs="Times New Roman"/>
                      <w:sz w:val="24"/>
                      <w:szCs w:val="24"/>
                    </w:rPr>
                  </w:pPr>
                  <w:r w:rsidRPr="00DA1498">
                    <w:rPr>
                      <w:rFonts w:eastAsia="Times New Roman" w:cs="Times New Roman"/>
                      <w:b/>
                      <w:bCs/>
                      <w:sz w:val="24"/>
                      <w:szCs w:val="24"/>
                    </w:rPr>
                    <w:lastRenderedPageBreak/>
                    <w:t>Intended Learning Outcomes</w:t>
                  </w:r>
                  <w:r w:rsidRPr="00DA1498">
                    <w:rPr>
                      <w:rFonts w:eastAsia="Times New Roman" w:cs="Times New Roman"/>
                      <w:sz w:val="24"/>
                      <w:szCs w:val="24"/>
                    </w:rPr>
                    <w:t>:</w:t>
                  </w:r>
                  <w:r w:rsidRPr="00DA1498">
                    <w:rPr>
                      <w:rFonts w:eastAsia="Times New Roman" w:cs="Times New Roman"/>
                      <w:sz w:val="24"/>
                      <w:szCs w:val="24"/>
                    </w:rPr>
                    <w:br/>
                  </w:r>
                  <w:r w:rsidRPr="00DA1498">
                    <w:rPr>
                      <w:rFonts w:eastAsia="Times New Roman" w:cs="Times New Roman"/>
                      <w:sz w:val="24"/>
                      <w:szCs w:val="24"/>
                    </w:rPr>
                    <w:br/>
                    <w:t xml:space="preserve">In terms of competency or performance, how will a participant be able to apply knowledge or skills gained from the proposed educational session to improve his/her professional practice? </w:t>
                  </w:r>
                </w:p>
              </w:tc>
            </w:tr>
          </w:tbl>
          <w:p w:rsidR="00DA1498" w:rsidRPr="00DA1498" w:rsidRDefault="00DA1498" w:rsidP="00DA1498">
            <w:pPr>
              <w:spacing w:after="0" w:line="240" w:lineRule="auto"/>
              <w:rPr>
                <w:rFonts w:eastAsia="Times New Roman" w:cs="Times New Roman"/>
                <w:sz w:val="24"/>
                <w:szCs w:val="24"/>
              </w:rPr>
            </w:pPr>
          </w:p>
        </w:tc>
      </w:tr>
      <w:tr w:rsidR="00DA1498" w:rsidRPr="00DA1498" w:rsidTr="00DA1498">
        <w:trPr>
          <w:tblCellSpacing w:w="15" w:type="dxa"/>
          <w:jc w:val="center"/>
        </w:trPr>
        <w:tc>
          <w:tcPr>
            <w:tcW w:w="0" w:type="auto"/>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961"/>
            </w:tblGrid>
            <w:tr w:rsidR="00DA1498" w:rsidRPr="00DA1498">
              <w:trPr>
                <w:tblCellSpacing w:w="15" w:type="dxa"/>
              </w:trPr>
              <w:tc>
                <w:tcPr>
                  <w:tcW w:w="0" w:type="auto"/>
                  <w:vAlign w:val="center"/>
                  <w:hideMark/>
                </w:tcPr>
                <w:p w:rsidR="00DA1498" w:rsidRPr="00DA1498" w:rsidRDefault="00DA1498" w:rsidP="00F74A95">
                  <w:pPr>
                    <w:spacing w:after="0" w:line="240" w:lineRule="auto"/>
                    <w:rPr>
                      <w:rFonts w:eastAsia="Times New Roman" w:cs="Times New Roman"/>
                      <w:sz w:val="24"/>
                      <w:szCs w:val="24"/>
                    </w:rPr>
                  </w:pPr>
                  <w:r w:rsidRPr="00DA1498">
                    <w:rPr>
                      <w:rFonts w:eastAsia="Times New Roman" w:cs="Times New Roman"/>
                      <w:sz w:val="24"/>
                      <w:szCs w:val="24"/>
                    </w:rPr>
                    <w:t>Following this session, participants will be able to:</w:t>
                  </w:r>
                  <w:r w:rsidRPr="00DA1498">
                    <w:rPr>
                      <w:rFonts w:eastAsia="Times New Roman" w:cs="Times New Roman"/>
                      <w:sz w:val="24"/>
                      <w:szCs w:val="24"/>
                    </w:rPr>
                    <w:br/>
                  </w:r>
                  <w:r w:rsidRPr="00DA1498">
                    <w:rPr>
                      <w:rFonts w:eastAsia="Times New Roman" w:cs="Times New Roman"/>
                      <w:sz w:val="24"/>
                      <w:szCs w:val="24"/>
                    </w:rPr>
                    <w:br/>
                    <w:t>Learning</w:t>
                  </w:r>
                  <w:r w:rsidR="00F74A95">
                    <w:rPr>
                      <w:rFonts w:eastAsia="Times New Roman" w:cs="Times New Roman"/>
                      <w:sz w:val="24"/>
                      <w:szCs w:val="24"/>
                    </w:rPr>
                    <w:t xml:space="preserve"> O</w:t>
                  </w:r>
                  <w:r w:rsidRPr="00DA1498">
                    <w:rPr>
                      <w:rFonts w:eastAsia="Times New Roman" w:cs="Times New Roman"/>
                      <w:sz w:val="24"/>
                      <w:szCs w:val="24"/>
                    </w:rPr>
                    <w:t>u</w:t>
                  </w:r>
                  <w:r w:rsidR="00F74A95">
                    <w:rPr>
                      <w:rFonts w:eastAsia="Times New Roman" w:cs="Times New Roman"/>
                      <w:sz w:val="24"/>
                      <w:szCs w:val="24"/>
                    </w:rPr>
                    <w:t>tcome 1:</w:t>
                  </w:r>
                </w:p>
              </w:tc>
            </w:tr>
          </w:tbl>
          <w:p w:rsidR="00DA1498" w:rsidRPr="00DA1498" w:rsidRDefault="00DA1498" w:rsidP="00DA1498">
            <w:pPr>
              <w:spacing w:after="0" w:line="240" w:lineRule="auto"/>
              <w:rPr>
                <w:rFonts w:eastAsia="Times New Roman" w:cs="Times New Roman"/>
                <w:sz w:val="24"/>
                <w:szCs w:val="24"/>
              </w:rPr>
            </w:pPr>
          </w:p>
        </w:tc>
      </w:tr>
      <w:tr w:rsidR="00DA1498" w:rsidRPr="00DA1498" w:rsidTr="00DA1498">
        <w:trPr>
          <w:tblCellSpacing w:w="15" w:type="dxa"/>
          <w:jc w:val="center"/>
        </w:trPr>
        <w:tc>
          <w:tcPr>
            <w:tcW w:w="0" w:type="auto"/>
            <w:vAlign w:val="center"/>
            <w:hideMark/>
          </w:tcPr>
          <w:p w:rsidR="00F74A95" w:rsidRDefault="00F74A95" w:rsidP="00F74A95">
            <w:pPr>
              <w:spacing w:after="0" w:line="240" w:lineRule="auto"/>
              <w:rPr>
                <w:b/>
                <w:bCs/>
              </w:rPr>
            </w:pPr>
            <w:r>
              <w:rPr>
                <w:rFonts w:eastAsia="Times New Roman" w:cs="Times New Roman"/>
                <w:sz w:val="24"/>
                <w:szCs w:val="24"/>
              </w:rPr>
              <w:t xml:space="preserve">Identify </w:t>
            </w:r>
            <w:r w:rsidR="00522A1C">
              <w:rPr>
                <w:rFonts w:eastAsia="Times New Roman" w:cs="Times New Roman"/>
                <w:sz w:val="24"/>
                <w:szCs w:val="24"/>
              </w:rPr>
              <w:t>cyto</w:t>
            </w:r>
            <w:r w:rsidR="00522A1C">
              <w:t xml:space="preserve">morphologic clues of head and neck lesions and special studies that can be helpful in arriving at a </w:t>
            </w:r>
            <w:r>
              <w:t xml:space="preserve">decision-making </w:t>
            </w:r>
            <w:r w:rsidR="00522A1C">
              <w:t>diagnosis</w:t>
            </w:r>
            <w:r>
              <w:t xml:space="preserve">, </w:t>
            </w:r>
            <w:r w:rsidR="00522A1C">
              <w:t>ultimately lead</w:t>
            </w:r>
            <w:r>
              <w:t>ing</w:t>
            </w:r>
            <w:r w:rsidR="00522A1C">
              <w:t xml:space="preserve"> to improv</w:t>
            </w:r>
            <w:r w:rsidR="00C73076">
              <w:t>ed</w:t>
            </w:r>
            <w:r w:rsidR="00522A1C">
              <w:t xml:space="preserve"> quality </w:t>
            </w:r>
            <w:r>
              <w:t xml:space="preserve">care and </w:t>
            </w:r>
            <w:r w:rsidR="00522A1C">
              <w:t>patient safety</w:t>
            </w:r>
            <w:r w:rsidR="00522A1C">
              <w:rPr>
                <w:b/>
                <w:bCs/>
              </w:rPr>
              <w:t>.</w:t>
            </w:r>
          </w:p>
          <w:p w:rsidR="00DA1498" w:rsidRPr="00DA1498" w:rsidRDefault="00A33E8A" w:rsidP="00F74A95">
            <w:pPr>
              <w:spacing w:after="0" w:line="240" w:lineRule="auto"/>
              <w:rPr>
                <w:rFonts w:eastAsia="Times New Roman" w:cs="Times New Roman"/>
                <w:sz w:val="24"/>
                <w:szCs w:val="24"/>
              </w:rPr>
            </w:pPr>
            <w:r>
              <w:rPr>
                <w:rFonts w:eastAsia="Times New Roman" w:cs="Times New Roman"/>
                <w:sz w:val="24"/>
                <w:szCs w:val="24"/>
              </w:rPr>
              <w:t xml:space="preserve"> </w:t>
            </w:r>
          </w:p>
        </w:tc>
      </w:tr>
      <w:tr w:rsidR="00DA1498" w:rsidRPr="00DA1498" w:rsidTr="00DA1498">
        <w:trPr>
          <w:tblCellSpacing w:w="15" w:type="dxa"/>
          <w:jc w:val="center"/>
        </w:trPr>
        <w:tc>
          <w:tcPr>
            <w:tcW w:w="0" w:type="auto"/>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270"/>
            </w:tblGrid>
            <w:tr w:rsidR="00DA1498" w:rsidRPr="00DA1498">
              <w:trPr>
                <w:tblCellSpacing w:w="15" w:type="dxa"/>
              </w:trPr>
              <w:tc>
                <w:tcPr>
                  <w:tcW w:w="0" w:type="auto"/>
                  <w:vAlign w:val="center"/>
                  <w:hideMark/>
                </w:tcPr>
                <w:p w:rsidR="00DA1498" w:rsidRPr="00DA1498" w:rsidRDefault="00DA1498" w:rsidP="00F74A95">
                  <w:pPr>
                    <w:spacing w:after="0" w:line="240" w:lineRule="auto"/>
                    <w:rPr>
                      <w:rFonts w:eastAsia="Times New Roman" w:cs="Times New Roman"/>
                      <w:sz w:val="24"/>
                      <w:szCs w:val="24"/>
                    </w:rPr>
                  </w:pPr>
                  <w:r w:rsidRPr="00DA1498">
                    <w:rPr>
                      <w:rFonts w:eastAsia="Times New Roman" w:cs="Times New Roman"/>
                      <w:sz w:val="24"/>
                      <w:szCs w:val="24"/>
                    </w:rPr>
                    <w:t xml:space="preserve">Learning </w:t>
                  </w:r>
                  <w:r w:rsidR="00F74A95">
                    <w:rPr>
                      <w:rFonts w:eastAsia="Times New Roman" w:cs="Times New Roman"/>
                      <w:sz w:val="24"/>
                      <w:szCs w:val="24"/>
                    </w:rPr>
                    <w:t>O</w:t>
                  </w:r>
                  <w:r w:rsidRPr="00DA1498">
                    <w:rPr>
                      <w:rFonts w:eastAsia="Times New Roman" w:cs="Times New Roman"/>
                      <w:sz w:val="24"/>
                      <w:szCs w:val="24"/>
                    </w:rPr>
                    <w:t>utcome 2</w:t>
                  </w:r>
                  <w:r w:rsidR="00F74A95">
                    <w:rPr>
                      <w:rFonts w:eastAsia="Times New Roman" w:cs="Times New Roman"/>
                      <w:sz w:val="24"/>
                      <w:szCs w:val="24"/>
                    </w:rPr>
                    <w:t>:</w:t>
                  </w:r>
                  <w:r w:rsidRPr="00DA1498">
                    <w:rPr>
                      <w:rFonts w:eastAsia="Times New Roman" w:cs="Times New Roman"/>
                      <w:sz w:val="24"/>
                      <w:szCs w:val="24"/>
                    </w:rPr>
                    <w:t xml:space="preserve"> </w:t>
                  </w:r>
                </w:p>
              </w:tc>
            </w:tr>
            <w:tr w:rsidR="00A33E8A" w:rsidRPr="00DA1498">
              <w:trPr>
                <w:tblCellSpacing w:w="15" w:type="dxa"/>
              </w:trPr>
              <w:tc>
                <w:tcPr>
                  <w:tcW w:w="0" w:type="auto"/>
                  <w:vAlign w:val="center"/>
                </w:tcPr>
                <w:p w:rsidR="00F74A95" w:rsidRDefault="00964E14" w:rsidP="00F74A95">
                  <w:pPr>
                    <w:spacing w:after="0" w:line="240" w:lineRule="auto"/>
                    <w:rPr>
                      <w:rFonts w:eastAsia="Times New Roman" w:cs="Times New Roman"/>
                      <w:sz w:val="24"/>
                      <w:szCs w:val="24"/>
                    </w:rPr>
                  </w:pPr>
                  <w:r>
                    <w:rPr>
                      <w:rFonts w:eastAsia="Times New Roman" w:cs="Times New Roman"/>
                      <w:sz w:val="24"/>
                      <w:szCs w:val="24"/>
                    </w:rPr>
                    <w:t xml:space="preserve">Recognize </w:t>
                  </w:r>
                  <w:r w:rsidR="00F74A95">
                    <w:rPr>
                      <w:rFonts w:eastAsia="Times New Roman" w:cs="Times New Roman"/>
                      <w:sz w:val="24"/>
                      <w:szCs w:val="24"/>
                    </w:rPr>
                    <w:t>overlapping</w:t>
                  </w:r>
                  <w:r>
                    <w:rPr>
                      <w:rFonts w:eastAsia="Times New Roman" w:cs="Times New Roman"/>
                      <w:sz w:val="24"/>
                      <w:szCs w:val="24"/>
                    </w:rPr>
                    <w:t xml:space="preserve"> cytomorphologic features</w:t>
                  </w:r>
                  <w:r w:rsidR="00F74A95">
                    <w:rPr>
                      <w:rFonts w:eastAsia="Times New Roman" w:cs="Times New Roman"/>
                      <w:sz w:val="24"/>
                      <w:szCs w:val="24"/>
                    </w:rPr>
                    <w:t xml:space="preserve"> between a primary versus a metastatic process.</w:t>
                  </w:r>
                  <w:r>
                    <w:rPr>
                      <w:rFonts w:eastAsia="Times New Roman" w:cs="Times New Roman"/>
                      <w:sz w:val="24"/>
                      <w:szCs w:val="24"/>
                    </w:rPr>
                    <w:t xml:space="preserve"> </w:t>
                  </w:r>
                </w:p>
                <w:p w:rsidR="00A33E8A" w:rsidRPr="00DA1498" w:rsidRDefault="00A33E8A" w:rsidP="00F74A95">
                  <w:pPr>
                    <w:spacing w:after="0" w:line="240" w:lineRule="auto"/>
                    <w:rPr>
                      <w:rFonts w:eastAsia="Times New Roman" w:cs="Times New Roman"/>
                      <w:sz w:val="24"/>
                      <w:szCs w:val="24"/>
                    </w:rPr>
                  </w:pPr>
                  <w:r>
                    <w:rPr>
                      <w:rFonts w:eastAsia="Times New Roman" w:cs="Times New Roman"/>
                      <w:sz w:val="24"/>
                      <w:szCs w:val="24"/>
                    </w:rPr>
                    <w:t xml:space="preserve"> </w:t>
                  </w:r>
                </w:p>
              </w:tc>
            </w:tr>
          </w:tbl>
          <w:p w:rsidR="00DA1498" w:rsidRPr="00DA1498" w:rsidRDefault="00DA1498" w:rsidP="00DA1498">
            <w:pPr>
              <w:spacing w:after="0" w:line="240" w:lineRule="auto"/>
              <w:rPr>
                <w:rFonts w:eastAsia="Times New Roman" w:cs="Times New Roman"/>
                <w:sz w:val="24"/>
                <w:szCs w:val="24"/>
              </w:rPr>
            </w:pPr>
          </w:p>
        </w:tc>
      </w:tr>
      <w:tr w:rsidR="00DA1498" w:rsidRPr="00DA1498" w:rsidTr="00DA1498">
        <w:trPr>
          <w:tblCellSpacing w:w="15" w:type="dxa"/>
          <w:jc w:val="center"/>
        </w:trPr>
        <w:tc>
          <w:tcPr>
            <w:tcW w:w="0" w:type="auto"/>
            <w:vAlign w:val="center"/>
            <w:hideMark/>
          </w:tcPr>
          <w:p w:rsidR="00DA1498" w:rsidRPr="00DA1498" w:rsidRDefault="00DA1498" w:rsidP="00DA1498">
            <w:pPr>
              <w:spacing w:after="0" w:line="240" w:lineRule="auto"/>
              <w:rPr>
                <w:rFonts w:eastAsia="Times New Roman" w:cs="Times New Roman"/>
                <w:sz w:val="24"/>
                <w:szCs w:val="24"/>
              </w:rPr>
            </w:pPr>
          </w:p>
        </w:tc>
      </w:tr>
      <w:tr w:rsidR="00DA1498" w:rsidRPr="00DA1498" w:rsidTr="00DA1498">
        <w:trPr>
          <w:tblCellSpacing w:w="15" w:type="dxa"/>
          <w:jc w:val="center"/>
        </w:trPr>
        <w:tc>
          <w:tcPr>
            <w:tcW w:w="0" w:type="auto"/>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335"/>
            </w:tblGrid>
            <w:tr w:rsidR="00DA1498" w:rsidRPr="00DA1498" w:rsidTr="00F74A95">
              <w:trPr>
                <w:tblCellSpacing w:w="15" w:type="dxa"/>
              </w:trPr>
              <w:tc>
                <w:tcPr>
                  <w:tcW w:w="7275" w:type="dxa"/>
                  <w:vAlign w:val="center"/>
                  <w:hideMark/>
                </w:tcPr>
                <w:p w:rsidR="00DA1498" w:rsidRPr="00DA1498" w:rsidRDefault="00DA1498" w:rsidP="00F74A95">
                  <w:pPr>
                    <w:spacing w:after="0" w:line="240" w:lineRule="auto"/>
                    <w:rPr>
                      <w:rFonts w:eastAsia="Times New Roman" w:cs="Times New Roman"/>
                      <w:sz w:val="24"/>
                      <w:szCs w:val="24"/>
                    </w:rPr>
                  </w:pPr>
                  <w:r w:rsidRPr="00DA1498">
                    <w:rPr>
                      <w:rFonts w:eastAsia="Times New Roman" w:cs="Times New Roman"/>
                      <w:sz w:val="24"/>
                      <w:szCs w:val="24"/>
                    </w:rPr>
                    <w:t>Learning</w:t>
                  </w:r>
                  <w:r w:rsidR="00F74A95">
                    <w:rPr>
                      <w:rFonts w:eastAsia="Times New Roman" w:cs="Times New Roman"/>
                      <w:sz w:val="24"/>
                      <w:szCs w:val="24"/>
                    </w:rPr>
                    <w:t xml:space="preserve"> Outcome 3:</w:t>
                  </w:r>
                </w:p>
              </w:tc>
            </w:tr>
            <w:tr w:rsidR="00964E14" w:rsidRPr="00DA1498" w:rsidTr="00F74A95">
              <w:trPr>
                <w:tblCellSpacing w:w="15" w:type="dxa"/>
              </w:trPr>
              <w:tc>
                <w:tcPr>
                  <w:tcW w:w="7275" w:type="dxa"/>
                  <w:vAlign w:val="center"/>
                </w:tcPr>
                <w:p w:rsidR="00964E14" w:rsidRDefault="00964E14" w:rsidP="00DA1498">
                  <w:pPr>
                    <w:spacing w:after="0" w:line="240" w:lineRule="auto"/>
                    <w:rPr>
                      <w:rFonts w:eastAsia="Times New Roman" w:cs="Times New Roman"/>
                      <w:sz w:val="24"/>
                      <w:szCs w:val="24"/>
                    </w:rPr>
                  </w:pPr>
                  <w:r>
                    <w:rPr>
                      <w:rFonts w:eastAsia="Times New Roman" w:cs="Times New Roman"/>
                      <w:sz w:val="24"/>
                      <w:szCs w:val="24"/>
                    </w:rPr>
                    <w:t>Triage head and neck specimens</w:t>
                  </w:r>
                  <w:r w:rsidR="00F74A95">
                    <w:rPr>
                      <w:rFonts w:eastAsia="Times New Roman" w:cs="Times New Roman"/>
                      <w:sz w:val="24"/>
                      <w:szCs w:val="24"/>
                    </w:rPr>
                    <w:t xml:space="preserve"> and utilize ancillary testing.  </w:t>
                  </w:r>
                </w:p>
                <w:p w:rsidR="00964E14" w:rsidRPr="00DA1498" w:rsidRDefault="00964E14" w:rsidP="00DA1498">
                  <w:pPr>
                    <w:spacing w:after="0" w:line="240" w:lineRule="auto"/>
                    <w:rPr>
                      <w:rFonts w:eastAsia="Times New Roman" w:cs="Times New Roman"/>
                      <w:sz w:val="24"/>
                      <w:szCs w:val="24"/>
                    </w:rPr>
                  </w:pPr>
                  <w:r>
                    <w:rPr>
                      <w:rFonts w:eastAsia="Times New Roman" w:cs="Times New Roman"/>
                      <w:sz w:val="24"/>
                      <w:szCs w:val="24"/>
                    </w:rPr>
                    <w:t xml:space="preserve">     </w:t>
                  </w:r>
                </w:p>
              </w:tc>
            </w:tr>
          </w:tbl>
          <w:p w:rsidR="00DA1498" w:rsidRPr="00DA1498" w:rsidRDefault="00DA1498" w:rsidP="00DA1498">
            <w:pPr>
              <w:spacing w:after="0" w:line="240" w:lineRule="auto"/>
              <w:rPr>
                <w:rFonts w:eastAsia="Times New Roman" w:cs="Times New Roman"/>
                <w:sz w:val="24"/>
                <w:szCs w:val="24"/>
              </w:rPr>
            </w:pPr>
          </w:p>
        </w:tc>
      </w:tr>
      <w:tr w:rsidR="00DA1498" w:rsidRPr="00DA1498" w:rsidTr="00DA1498">
        <w:trPr>
          <w:tblCellSpacing w:w="15" w:type="dxa"/>
          <w:jc w:val="center"/>
        </w:trPr>
        <w:tc>
          <w:tcPr>
            <w:tcW w:w="0" w:type="auto"/>
            <w:vAlign w:val="center"/>
            <w:hideMark/>
          </w:tcPr>
          <w:p w:rsidR="00DA1498" w:rsidRPr="00DA1498" w:rsidRDefault="00DA1498" w:rsidP="00DA1498">
            <w:pPr>
              <w:spacing w:after="0" w:line="240" w:lineRule="auto"/>
              <w:rPr>
                <w:rFonts w:ascii="Times New Roman" w:eastAsia="Times New Roman" w:hAnsi="Times New Roman" w:cs="Times New Roman"/>
                <w:sz w:val="24"/>
                <w:szCs w:val="24"/>
              </w:rPr>
            </w:pPr>
          </w:p>
        </w:tc>
      </w:tr>
    </w:tbl>
    <w:p w:rsidR="00DA1498" w:rsidRPr="00DA1498" w:rsidRDefault="00DA1498" w:rsidP="00DA1498">
      <w:pPr>
        <w:autoSpaceDE w:val="0"/>
        <w:autoSpaceDN w:val="0"/>
        <w:adjustRightInd w:val="0"/>
        <w:spacing w:after="0" w:line="240" w:lineRule="auto"/>
        <w:rPr>
          <w:sz w:val="32"/>
        </w:rPr>
      </w:pPr>
    </w:p>
    <w:sectPr w:rsidR="00DA1498" w:rsidRPr="00DA14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CaslonPro-Regular">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007"/>
    <w:rsid w:val="00022D67"/>
    <w:rsid w:val="000B7A8C"/>
    <w:rsid w:val="001F004D"/>
    <w:rsid w:val="00320E35"/>
    <w:rsid w:val="00423063"/>
    <w:rsid w:val="004416B3"/>
    <w:rsid w:val="004710A4"/>
    <w:rsid w:val="004716E0"/>
    <w:rsid w:val="00522A1C"/>
    <w:rsid w:val="005C6F73"/>
    <w:rsid w:val="00646B4D"/>
    <w:rsid w:val="008C168B"/>
    <w:rsid w:val="008E5408"/>
    <w:rsid w:val="008F4CDF"/>
    <w:rsid w:val="008F5CE8"/>
    <w:rsid w:val="00952938"/>
    <w:rsid w:val="00964E14"/>
    <w:rsid w:val="00A33E8A"/>
    <w:rsid w:val="00AA4896"/>
    <w:rsid w:val="00C73076"/>
    <w:rsid w:val="00D04007"/>
    <w:rsid w:val="00DA1498"/>
    <w:rsid w:val="00E132EF"/>
    <w:rsid w:val="00EC16FB"/>
    <w:rsid w:val="00F74A95"/>
    <w:rsid w:val="00FB394A"/>
    <w:rsid w:val="00FF2A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8EE9E2-4DA3-42CD-8EE2-410B55AFF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74A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4A9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0816538">
      <w:bodyDiv w:val="1"/>
      <w:marLeft w:val="0"/>
      <w:marRight w:val="0"/>
      <w:marTop w:val="0"/>
      <w:marBottom w:val="0"/>
      <w:divBdr>
        <w:top w:val="none" w:sz="0" w:space="0" w:color="auto"/>
        <w:left w:val="none" w:sz="0" w:space="0" w:color="auto"/>
        <w:bottom w:val="none" w:sz="0" w:space="0" w:color="auto"/>
        <w:right w:val="none" w:sz="0" w:space="0" w:color="auto"/>
      </w:divBdr>
    </w:div>
    <w:div w:id="657734907">
      <w:bodyDiv w:val="1"/>
      <w:marLeft w:val="0"/>
      <w:marRight w:val="0"/>
      <w:marTop w:val="0"/>
      <w:marBottom w:val="0"/>
      <w:divBdr>
        <w:top w:val="none" w:sz="0" w:space="0" w:color="auto"/>
        <w:left w:val="none" w:sz="0" w:space="0" w:color="auto"/>
        <w:bottom w:val="none" w:sz="0" w:space="0" w:color="auto"/>
        <w:right w:val="none" w:sz="0" w:space="0" w:color="auto"/>
      </w:divBdr>
      <w:divsChild>
        <w:div w:id="5365540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617</Words>
  <Characters>3523</Characters>
  <Application>Microsoft Office Word</Application>
  <DocSecurity>4</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Johns Hopkins</Company>
  <LinksUpToDate>false</LinksUpToDate>
  <CharactersWithSpaces>4132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Zahra Maleki</dc:creator>
  <cp:keywords/>
  <dc:description/>
  <cp:lastModifiedBy>Zahra Maleki</cp:lastModifiedBy>
  <cp:revision>2</cp:revision>
  <cp:lastPrinted>2017-10-27T13:04:00Z</cp:lastPrinted>
  <dcterms:created xsi:type="dcterms:W3CDTF">2017-10-27T15:02:00Z</dcterms:created>
  <dcterms:modified xsi:type="dcterms:W3CDTF">2017-10-27T15:02:00Z</dcterms:modified>
</cp:coreProperties>
</file>