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E98" w:rsidRDefault="00821BA5" w:rsidP="00F136C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Impact</w:t>
      </w:r>
      <w:r w:rsidR="00F24E98" w:rsidRPr="00F24E98"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="00236519">
        <w:rPr>
          <w:rFonts w:ascii="Times New Roman" w:hAnsi="Times New Roman" w:cs="Times New Roman"/>
          <w:b/>
          <w:sz w:val="24"/>
          <w:szCs w:val="24"/>
        </w:rPr>
        <w:t xml:space="preserve">prophylaxis with </w:t>
      </w:r>
      <w:r w:rsidR="00F24E98" w:rsidRPr="00F24E98">
        <w:rPr>
          <w:rFonts w:ascii="Times New Roman" w:hAnsi="Times New Roman" w:cs="Times New Roman"/>
          <w:b/>
          <w:sz w:val="24"/>
          <w:szCs w:val="24"/>
        </w:rPr>
        <w:t xml:space="preserve">Cotrimoxazole (CTX) </w:t>
      </w:r>
      <w:r w:rsidR="00041228">
        <w:rPr>
          <w:rFonts w:ascii="Times New Roman" w:hAnsi="Times New Roman" w:cs="Times New Roman"/>
          <w:b/>
          <w:sz w:val="24"/>
          <w:szCs w:val="24"/>
        </w:rPr>
        <w:t>on</w:t>
      </w:r>
      <w:r w:rsidR="00F24E98" w:rsidRPr="00F24E98">
        <w:rPr>
          <w:rFonts w:ascii="Times New Roman" w:hAnsi="Times New Roman" w:cs="Times New Roman"/>
          <w:b/>
          <w:sz w:val="24"/>
          <w:szCs w:val="24"/>
        </w:rPr>
        <w:t xml:space="preserve"> mal</w:t>
      </w:r>
      <w:r w:rsidR="00F136C2">
        <w:rPr>
          <w:rFonts w:ascii="Times New Roman" w:hAnsi="Times New Roman" w:cs="Times New Roman"/>
          <w:b/>
          <w:sz w:val="24"/>
          <w:szCs w:val="24"/>
        </w:rPr>
        <w:t>aria parasitaemia</w:t>
      </w:r>
      <w:r w:rsidR="0004122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35906">
        <w:rPr>
          <w:rFonts w:ascii="Times New Roman" w:hAnsi="Times New Roman" w:cs="Times New Roman"/>
          <w:b/>
          <w:sz w:val="24"/>
          <w:szCs w:val="24"/>
        </w:rPr>
        <w:t>Anaemia</w:t>
      </w:r>
      <w:r w:rsidR="00041228">
        <w:rPr>
          <w:rFonts w:ascii="Times New Roman" w:hAnsi="Times New Roman" w:cs="Times New Roman"/>
          <w:b/>
          <w:sz w:val="24"/>
          <w:szCs w:val="24"/>
        </w:rPr>
        <w:t xml:space="preserve"> and CD4</w:t>
      </w:r>
      <w:r w:rsidR="00953DCC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+ </w:t>
      </w:r>
      <w:r w:rsidR="00953DCC">
        <w:rPr>
          <w:rFonts w:ascii="Times New Roman" w:hAnsi="Times New Roman" w:cs="Times New Roman"/>
          <w:b/>
          <w:sz w:val="24"/>
          <w:szCs w:val="24"/>
        </w:rPr>
        <w:t>count</w:t>
      </w:r>
      <w:r w:rsidR="00F136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4E98" w:rsidRPr="00F24E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3DCC">
        <w:rPr>
          <w:rFonts w:ascii="Times New Roman" w:hAnsi="Times New Roman" w:cs="Times New Roman"/>
          <w:b/>
          <w:sz w:val="24"/>
          <w:szCs w:val="24"/>
        </w:rPr>
        <w:t>in</w:t>
      </w:r>
      <w:r w:rsidR="00F24E98" w:rsidRPr="00F24E98">
        <w:rPr>
          <w:rFonts w:ascii="Times New Roman" w:hAnsi="Times New Roman" w:cs="Times New Roman"/>
          <w:b/>
          <w:sz w:val="24"/>
          <w:szCs w:val="24"/>
        </w:rPr>
        <w:t xml:space="preserve"> HIV-infected pregnant women in Jos, Nigeria.</w:t>
      </w:r>
    </w:p>
    <w:p w:rsidR="00B35906" w:rsidRPr="00B35906" w:rsidRDefault="005C56C5" w:rsidP="00B35906">
      <w:pPr>
        <w:spacing w:line="240" w:lineRule="auto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>Ali</w:t>
      </w:r>
      <w:r w:rsidR="00A90C25">
        <w:rPr>
          <w:rFonts w:ascii="Times New Roman" w:hAnsi="Times New Roman" w:cs="Times New Roman"/>
          <w:b/>
          <w:sz w:val="24"/>
          <w:szCs w:val="24"/>
        </w:rPr>
        <w:t>, M.A</w:t>
      </w:r>
      <w:r w:rsidR="00F5370D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A90C25">
        <w:rPr>
          <w:rFonts w:ascii="Times New Roman" w:hAnsi="Times New Roman" w:cs="Times New Roman"/>
          <w:b/>
          <w:sz w:val="24"/>
          <w:szCs w:val="24"/>
        </w:rPr>
        <w:t>., Agbo, E.</w:t>
      </w:r>
      <w:r w:rsidR="00E7787A">
        <w:rPr>
          <w:rFonts w:ascii="Times New Roman" w:hAnsi="Times New Roman" w:cs="Times New Roman"/>
          <w:b/>
          <w:sz w:val="24"/>
          <w:szCs w:val="24"/>
        </w:rPr>
        <w:t>B</w:t>
      </w:r>
      <w:r w:rsidR="00F5370D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E7787A">
        <w:rPr>
          <w:rFonts w:ascii="Times New Roman" w:hAnsi="Times New Roman" w:cs="Times New Roman"/>
          <w:b/>
          <w:sz w:val="24"/>
          <w:szCs w:val="24"/>
        </w:rPr>
        <w:t>.</w:t>
      </w:r>
      <w:r w:rsidR="00A90C25">
        <w:rPr>
          <w:rFonts w:ascii="Times New Roman" w:hAnsi="Times New Roman" w:cs="Times New Roman"/>
          <w:b/>
          <w:sz w:val="24"/>
          <w:szCs w:val="24"/>
        </w:rPr>
        <w:t>, Suleiman, M.M</w:t>
      </w:r>
      <w:r w:rsidR="00022C8F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A90C25">
        <w:rPr>
          <w:rFonts w:ascii="Times New Roman" w:hAnsi="Times New Roman" w:cs="Times New Roman"/>
          <w:b/>
          <w:sz w:val="24"/>
          <w:szCs w:val="24"/>
        </w:rPr>
        <w:t>.,</w:t>
      </w:r>
      <w:r w:rsidR="00022C8F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="00A90C25">
        <w:rPr>
          <w:rFonts w:ascii="Times New Roman" w:hAnsi="Times New Roman" w:cs="Times New Roman"/>
          <w:b/>
          <w:sz w:val="24"/>
          <w:szCs w:val="24"/>
        </w:rPr>
        <w:t xml:space="preserve"> Oguche, S</w:t>
      </w:r>
      <w:r w:rsidR="00D91D9E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="00A90C25">
        <w:rPr>
          <w:rFonts w:ascii="Times New Roman" w:hAnsi="Times New Roman" w:cs="Times New Roman"/>
          <w:b/>
          <w:sz w:val="24"/>
          <w:szCs w:val="24"/>
        </w:rPr>
        <w:t>., Musa, J.</w:t>
      </w:r>
      <w:r w:rsidR="00D91D9E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="00B35906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="00B359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5906" w:rsidRPr="00776BA8">
        <w:rPr>
          <w:rFonts w:ascii="Times New Roman" w:hAnsi="Times New Roman" w:cs="Times New Roman"/>
          <w:b/>
          <w:sz w:val="24"/>
          <w:szCs w:val="24"/>
        </w:rPr>
        <w:t>Anejo-Okopi A</w:t>
      </w:r>
      <w:r w:rsidR="00B35906">
        <w:rPr>
          <w:rFonts w:ascii="Times New Roman" w:hAnsi="Times New Roman" w:cs="Times New Roman"/>
          <w:b/>
          <w:sz w:val="24"/>
          <w:szCs w:val="24"/>
        </w:rPr>
        <w:t>.</w:t>
      </w:r>
      <w:r w:rsidR="00B35906" w:rsidRPr="00776BA8">
        <w:rPr>
          <w:rFonts w:ascii="Times New Roman" w:hAnsi="Times New Roman" w:cs="Times New Roman"/>
          <w:b/>
          <w:sz w:val="24"/>
          <w:szCs w:val="24"/>
        </w:rPr>
        <w:t>J</w:t>
      </w:r>
      <w:r w:rsidR="00B35906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="00B35906">
        <w:rPr>
          <w:rFonts w:ascii="Times New Roman" w:hAnsi="Times New Roman" w:cs="Times New Roman"/>
          <w:b/>
          <w:sz w:val="24"/>
          <w:szCs w:val="24"/>
        </w:rPr>
        <w:t xml:space="preserve"> &amp; Lar P.M</w:t>
      </w:r>
      <w:r w:rsidR="00B35906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bookmarkStart w:id="0" w:name="_GoBack"/>
      <w:bookmarkEnd w:id="0"/>
    </w:p>
    <w:p w:rsidR="005C56C5" w:rsidRPr="00B35906" w:rsidRDefault="005C56C5" w:rsidP="00F136C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633E5" w:rsidRDefault="00AE09A1" w:rsidP="00680D7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Department of Microbiology, University of Jos, 2 Department of Biological Sciences</w:t>
      </w:r>
      <w:r w:rsidR="0032387A">
        <w:rPr>
          <w:rFonts w:ascii="Times New Roman" w:hAnsi="Times New Roman" w:cs="Times New Roman"/>
          <w:b/>
          <w:sz w:val="24"/>
          <w:szCs w:val="24"/>
        </w:rPr>
        <w:t>, Abbubakar Tafawa Balewa University, Bauchi, 3 Faculty of Medical Sciences, University of Jos, Nigeria.</w:t>
      </w:r>
    </w:p>
    <w:p w:rsidR="00030B45" w:rsidRPr="005C56C5" w:rsidRDefault="00030B45" w:rsidP="00680D7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C56C5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030B45" w:rsidRPr="006F1444" w:rsidRDefault="00030B45" w:rsidP="00030B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1444">
        <w:rPr>
          <w:rFonts w:ascii="Times New Roman" w:hAnsi="Times New Roman" w:cs="Times New Roman"/>
          <w:sz w:val="24"/>
          <w:szCs w:val="24"/>
        </w:rPr>
        <w:t>The eff</w:t>
      </w:r>
      <w:r>
        <w:rPr>
          <w:rFonts w:ascii="Times New Roman" w:hAnsi="Times New Roman" w:cs="Times New Roman"/>
          <w:sz w:val="24"/>
          <w:szCs w:val="24"/>
        </w:rPr>
        <w:t>ectiveness</w:t>
      </w:r>
      <w:r w:rsidRPr="006F1444">
        <w:rPr>
          <w:rFonts w:ascii="Times New Roman" w:hAnsi="Times New Roman" w:cs="Times New Roman"/>
          <w:sz w:val="24"/>
          <w:szCs w:val="24"/>
        </w:rPr>
        <w:t xml:space="preserve"> of Cotrimoxazole (CTX) </w:t>
      </w:r>
      <w:r>
        <w:rPr>
          <w:rFonts w:ascii="Times New Roman" w:hAnsi="Times New Roman" w:cs="Times New Roman"/>
          <w:sz w:val="24"/>
          <w:szCs w:val="24"/>
        </w:rPr>
        <w:t>against</w:t>
      </w:r>
      <w:r w:rsidRPr="006F1444">
        <w:rPr>
          <w:rFonts w:ascii="Times New Roman" w:hAnsi="Times New Roman" w:cs="Times New Roman"/>
          <w:sz w:val="24"/>
          <w:szCs w:val="24"/>
        </w:rPr>
        <w:t xml:space="preserve"> malaria parasitaemia and bacterial infections in 235 HIV-infected pregnant women was studied. Study population was divided into 2 groups; Group A </w:t>
      </w:r>
      <w:r w:rsidR="003E111D">
        <w:rPr>
          <w:rFonts w:ascii="Times New Roman" w:hAnsi="Times New Roman" w:cs="Times New Roman"/>
          <w:sz w:val="24"/>
          <w:szCs w:val="24"/>
        </w:rPr>
        <w:t xml:space="preserve">were given </w:t>
      </w:r>
      <w:r w:rsidRPr="006F1444">
        <w:rPr>
          <w:rFonts w:ascii="Times New Roman" w:hAnsi="Times New Roman" w:cs="Times New Roman"/>
          <w:sz w:val="24"/>
          <w:szCs w:val="24"/>
        </w:rPr>
        <w:t>CTX while group B took</w:t>
      </w:r>
      <w:r w:rsidR="00E105CC">
        <w:rPr>
          <w:rFonts w:ascii="Times New Roman" w:hAnsi="Times New Roman" w:cs="Times New Roman"/>
          <w:sz w:val="24"/>
          <w:szCs w:val="24"/>
        </w:rPr>
        <w:t xml:space="preserve"> the standard drug</w:t>
      </w:r>
      <w:r w:rsidRPr="006F1444">
        <w:rPr>
          <w:rFonts w:ascii="Times New Roman" w:hAnsi="Times New Roman" w:cs="Times New Roman"/>
          <w:sz w:val="24"/>
          <w:szCs w:val="24"/>
        </w:rPr>
        <w:t xml:space="preserve"> </w:t>
      </w:r>
      <w:r w:rsidR="00E105CC">
        <w:rPr>
          <w:rFonts w:ascii="Times New Roman" w:hAnsi="Times New Roman" w:cs="Times New Roman"/>
          <w:sz w:val="24"/>
          <w:szCs w:val="24"/>
        </w:rPr>
        <w:t>Fansidar (</w:t>
      </w:r>
      <w:r w:rsidRPr="006F1444">
        <w:rPr>
          <w:rFonts w:ascii="Times New Roman" w:hAnsi="Times New Roman" w:cs="Times New Roman"/>
          <w:sz w:val="24"/>
          <w:szCs w:val="24"/>
        </w:rPr>
        <w:t>SP</w:t>
      </w:r>
      <w:r w:rsidR="00E105CC">
        <w:rPr>
          <w:rFonts w:ascii="Times New Roman" w:hAnsi="Times New Roman" w:cs="Times New Roman"/>
          <w:sz w:val="24"/>
          <w:szCs w:val="24"/>
        </w:rPr>
        <w:t>)</w:t>
      </w:r>
      <w:r w:rsidR="003E111D">
        <w:rPr>
          <w:rFonts w:ascii="Times New Roman" w:hAnsi="Times New Roman" w:cs="Times New Roman"/>
          <w:sz w:val="24"/>
          <w:szCs w:val="24"/>
        </w:rPr>
        <w:t xml:space="preserve"> for prophylaxis against malaria parasitaemia</w:t>
      </w:r>
      <w:r w:rsidRPr="006F1444">
        <w:rPr>
          <w:rFonts w:ascii="Times New Roman" w:hAnsi="Times New Roman" w:cs="Times New Roman"/>
          <w:sz w:val="24"/>
          <w:szCs w:val="24"/>
        </w:rPr>
        <w:t xml:space="preserve">. Peripheral blood samples were examined for malaria parasitaemia </w:t>
      </w:r>
      <w:r w:rsidR="007B6DAA">
        <w:rPr>
          <w:rFonts w:ascii="Times New Roman" w:hAnsi="Times New Roman" w:cs="Times New Roman"/>
          <w:sz w:val="24"/>
          <w:szCs w:val="24"/>
        </w:rPr>
        <w:t xml:space="preserve">before and after prophylaxis </w:t>
      </w:r>
      <w:r w:rsidRPr="006F1444">
        <w:rPr>
          <w:rFonts w:ascii="Times New Roman" w:hAnsi="Times New Roman" w:cs="Times New Roman"/>
          <w:sz w:val="24"/>
          <w:szCs w:val="24"/>
        </w:rPr>
        <w:t>using the thick and thin blood smears. CD4</w:t>
      </w:r>
      <w:r w:rsidRPr="007935EF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6F1444">
        <w:rPr>
          <w:rFonts w:ascii="Times New Roman" w:hAnsi="Times New Roman" w:cs="Times New Roman"/>
          <w:sz w:val="24"/>
          <w:szCs w:val="24"/>
        </w:rPr>
        <w:t xml:space="preserve"> count and PCV before and after prophylaxis were determined using flow cytometric analyser and capillary tube methods respectively. Prevalence of malaria was reduced from 19.58% to 3.83% after prophylaxis with CTX while those who took SP had reduction from 10.64% to 4.26%. CTX reduced parasitaemia by 89.4%, while SP gave 79.01% reduction</w:t>
      </w:r>
      <w:r w:rsidR="007935EF">
        <w:rPr>
          <w:rFonts w:ascii="Times New Roman" w:hAnsi="Times New Roman" w:cs="Times New Roman"/>
          <w:sz w:val="24"/>
          <w:szCs w:val="24"/>
        </w:rPr>
        <w:t xml:space="preserve"> after prophylaxis</w:t>
      </w:r>
      <w:r w:rsidRPr="006F1444">
        <w:rPr>
          <w:rFonts w:ascii="Times New Roman" w:hAnsi="Times New Roman" w:cs="Times New Roman"/>
          <w:sz w:val="24"/>
          <w:szCs w:val="24"/>
        </w:rPr>
        <w:t xml:space="preserve">. </w:t>
      </w:r>
      <w:r w:rsidR="006114B0" w:rsidRPr="006114B0">
        <w:rPr>
          <w:rFonts w:ascii="Times New Roman" w:hAnsi="Times New Roman" w:cs="Times New Roman"/>
          <w:sz w:val="24"/>
          <w:szCs w:val="24"/>
          <w:lang w:val="en-US"/>
        </w:rPr>
        <w:t xml:space="preserve">Majority of the women were mild to moderately anaemic (26 - 35%) which accounted for </w:t>
      </w:r>
      <w:r w:rsidR="006114B0" w:rsidRPr="006114B0">
        <w:rPr>
          <w:rFonts w:ascii="Times New Roman" w:hAnsi="Times New Roman" w:cs="Times New Roman"/>
          <w:bCs/>
          <w:sz w:val="24"/>
          <w:szCs w:val="24"/>
          <w:lang w:val="en-US"/>
        </w:rPr>
        <w:t>88(65.20%) and 67 (67.00%) as well as 85(63.00%) and 68(68.00%) before and after prophylaxis with CTX and SP respectively.</w:t>
      </w:r>
      <w:r w:rsidR="006114B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94769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number of women with severe anaemia was reduced from 7 to 6 and from 7 to 1 after prophylaxis with CTX and SP respectively. </w:t>
      </w:r>
      <w:r w:rsidRPr="006F1444">
        <w:rPr>
          <w:rFonts w:ascii="Times New Roman" w:hAnsi="Times New Roman" w:cs="Times New Roman"/>
          <w:sz w:val="24"/>
          <w:szCs w:val="24"/>
        </w:rPr>
        <w:t xml:space="preserve">The mean PCV was significantly (P&lt;0.015) increased from 33.09% to 33.20% after prophylaxis with CTX, but insignificantly (P=0.154) reduced from 33.11% to 32.90% with SP. </w:t>
      </w:r>
      <w:r w:rsidR="00FA0D5B" w:rsidRPr="00FA0D5B">
        <w:rPr>
          <w:rFonts w:ascii="Times New Roman" w:hAnsi="Times New Roman" w:cs="Times New Roman"/>
          <w:sz w:val="24"/>
          <w:szCs w:val="24"/>
          <w:lang w:val="en-US"/>
        </w:rPr>
        <w:t>Prophylaxis with CTX was followed by slight increases in CD4</w:t>
      </w:r>
      <w:r w:rsidR="00FA0D5B" w:rsidRPr="00FA0D5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+ </w:t>
      </w:r>
      <w:r w:rsidR="00FA0D5B" w:rsidRPr="00FA0D5B">
        <w:rPr>
          <w:rFonts w:ascii="Times New Roman" w:hAnsi="Times New Roman" w:cs="Times New Roman"/>
          <w:sz w:val="24"/>
          <w:szCs w:val="24"/>
          <w:lang w:val="en-US"/>
        </w:rPr>
        <w:t>count for most study participants. Only 2(1.6%)</w:t>
      </w:r>
      <w:r w:rsidR="005D28E4">
        <w:rPr>
          <w:rFonts w:ascii="Times New Roman" w:hAnsi="Times New Roman" w:cs="Times New Roman"/>
          <w:sz w:val="24"/>
          <w:szCs w:val="24"/>
          <w:lang w:val="en-US"/>
        </w:rPr>
        <w:t xml:space="preserve"> of the 7 that had </w:t>
      </w:r>
      <w:r w:rsidR="005D28E4" w:rsidRPr="00FA0D5B">
        <w:rPr>
          <w:rFonts w:ascii="Times New Roman" w:hAnsi="Times New Roman" w:cs="Times New Roman"/>
          <w:sz w:val="24"/>
          <w:szCs w:val="24"/>
          <w:lang w:val="en-US"/>
        </w:rPr>
        <w:t xml:space="preserve">CD4 </w:t>
      </w:r>
      <w:r w:rsidR="005D28E4" w:rsidRPr="00FA0D5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</w:t>
      </w:r>
      <w:r w:rsidR="005D28E4" w:rsidRPr="00FA0D5B">
        <w:rPr>
          <w:rFonts w:ascii="Times New Roman" w:hAnsi="Times New Roman" w:cs="Times New Roman"/>
          <w:sz w:val="24"/>
          <w:szCs w:val="24"/>
          <w:lang w:val="en-US"/>
        </w:rPr>
        <w:t>count of ≤ 50cells/µl</w:t>
      </w:r>
      <w:r w:rsidR="005D28E4">
        <w:rPr>
          <w:rFonts w:ascii="Times New Roman" w:hAnsi="Times New Roman" w:cs="Times New Roman"/>
          <w:sz w:val="24"/>
          <w:szCs w:val="24"/>
          <w:lang w:val="en-US"/>
        </w:rPr>
        <w:t xml:space="preserve"> remained </w:t>
      </w:r>
      <w:r w:rsidR="00AE59B0">
        <w:rPr>
          <w:rFonts w:ascii="Times New Roman" w:hAnsi="Times New Roman" w:cs="Times New Roman"/>
          <w:sz w:val="24"/>
          <w:szCs w:val="24"/>
          <w:lang w:val="en-US"/>
        </w:rPr>
        <w:t>in that group after prophylaxis with CTX, while many had their CD4+ count</w:t>
      </w:r>
      <w:r w:rsidR="009A764C">
        <w:rPr>
          <w:rFonts w:ascii="Times New Roman" w:hAnsi="Times New Roman" w:cs="Times New Roman"/>
          <w:sz w:val="24"/>
          <w:szCs w:val="24"/>
          <w:lang w:val="en-US"/>
        </w:rPr>
        <w:t xml:space="preserve"> significantly (</w:t>
      </w:r>
      <w:r w:rsidR="00F5370D">
        <w:rPr>
          <w:rFonts w:ascii="Times New Roman" w:hAnsi="Times New Roman" w:cs="Times New Roman"/>
          <w:sz w:val="24"/>
          <w:szCs w:val="24"/>
          <w:lang w:val="en-US"/>
        </w:rPr>
        <w:t>P=0.001)</w:t>
      </w:r>
      <w:r w:rsidR="00AE59B0">
        <w:rPr>
          <w:rFonts w:ascii="Times New Roman" w:hAnsi="Times New Roman" w:cs="Times New Roman"/>
          <w:sz w:val="24"/>
          <w:szCs w:val="24"/>
          <w:lang w:val="en-US"/>
        </w:rPr>
        <w:t xml:space="preserve"> increased to above the 350</w:t>
      </w:r>
      <w:r w:rsidR="00C547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47A0" w:rsidRPr="006F1444">
        <w:rPr>
          <w:rFonts w:ascii="Times New Roman" w:hAnsi="Times New Roman" w:cs="Times New Roman"/>
          <w:sz w:val="24"/>
          <w:szCs w:val="24"/>
        </w:rPr>
        <w:t xml:space="preserve">(cells/µl) </w:t>
      </w:r>
      <w:r w:rsidR="00C547A0">
        <w:rPr>
          <w:rFonts w:ascii="Times New Roman" w:hAnsi="Times New Roman" w:cs="Times New Roman"/>
          <w:sz w:val="24"/>
          <w:szCs w:val="24"/>
          <w:lang w:val="en-US"/>
        </w:rPr>
        <w:t>threshold</w:t>
      </w:r>
      <w:r w:rsidR="009A764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15C8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FA0D5B" w:rsidRPr="00FA0D5B">
        <w:rPr>
          <w:rFonts w:ascii="Times New Roman" w:hAnsi="Times New Roman" w:cs="Times New Roman"/>
          <w:sz w:val="24"/>
          <w:szCs w:val="24"/>
          <w:lang w:val="en-US"/>
        </w:rPr>
        <w:t>here were slight but statistically significant (P = 0.001) decreases in CD4+count</w:t>
      </w:r>
      <w:r w:rsidR="00915C8A">
        <w:rPr>
          <w:rFonts w:ascii="Times New Roman" w:hAnsi="Times New Roman" w:cs="Times New Roman"/>
          <w:sz w:val="24"/>
          <w:szCs w:val="24"/>
          <w:lang w:val="en-US"/>
        </w:rPr>
        <w:t xml:space="preserve"> after prophylaxis with SP.</w:t>
      </w:r>
      <w:r w:rsidR="00FD0F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1444">
        <w:rPr>
          <w:rFonts w:ascii="Times New Roman" w:hAnsi="Times New Roman" w:cs="Times New Roman"/>
          <w:sz w:val="24"/>
          <w:szCs w:val="24"/>
        </w:rPr>
        <w:t>CTX significantly (P=0.00005) increased mean CD4+ (cells/µl) from 223.55 to 300.54, while SP significantly decreased it (P=0.011) from 570 to 534.4. Cotrimoxazole is effective in reducing malaria parasitaemia</w:t>
      </w:r>
      <w:r w:rsidR="00FD0FA5">
        <w:rPr>
          <w:rFonts w:ascii="Times New Roman" w:hAnsi="Times New Roman" w:cs="Times New Roman"/>
          <w:sz w:val="24"/>
          <w:szCs w:val="24"/>
        </w:rPr>
        <w:t xml:space="preserve">, with both </w:t>
      </w:r>
      <w:r w:rsidR="009C25F3">
        <w:rPr>
          <w:rFonts w:ascii="Times New Roman" w:hAnsi="Times New Roman" w:cs="Times New Roman"/>
          <w:sz w:val="24"/>
          <w:szCs w:val="24"/>
        </w:rPr>
        <w:t>immunological and haematological benefits in HIV-infected pregnant women.</w:t>
      </w:r>
      <w:r w:rsidRPr="006F1444">
        <w:rPr>
          <w:rFonts w:ascii="Times New Roman" w:hAnsi="Times New Roman" w:cs="Times New Roman"/>
          <w:sz w:val="24"/>
          <w:szCs w:val="24"/>
        </w:rPr>
        <w:t xml:space="preserve"> </w:t>
      </w:r>
      <w:r w:rsidR="0058088B">
        <w:rPr>
          <w:rFonts w:ascii="Times New Roman" w:hAnsi="Times New Roman" w:cs="Times New Roman"/>
          <w:sz w:val="24"/>
          <w:szCs w:val="24"/>
        </w:rPr>
        <w:t>The policy on the use of CTX alone in prophylaxis against</w:t>
      </w:r>
      <w:r w:rsidR="00B22299">
        <w:rPr>
          <w:rFonts w:ascii="Times New Roman" w:hAnsi="Times New Roman" w:cs="Times New Roman"/>
          <w:sz w:val="24"/>
          <w:szCs w:val="24"/>
        </w:rPr>
        <w:t xml:space="preserve"> both opportunistic bacteria and</w:t>
      </w:r>
      <w:r w:rsidR="0058088B">
        <w:rPr>
          <w:rFonts w:ascii="Times New Roman" w:hAnsi="Times New Roman" w:cs="Times New Roman"/>
          <w:sz w:val="24"/>
          <w:szCs w:val="24"/>
        </w:rPr>
        <w:t xml:space="preserve"> malaria parasitaemia is hereby strengthened.</w:t>
      </w:r>
    </w:p>
    <w:p w:rsidR="00B10534" w:rsidRDefault="00B10534" w:rsidP="001C0AE1">
      <w:pPr>
        <w:tabs>
          <w:tab w:val="left" w:pos="2279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534" w:rsidRPr="00B10534" w:rsidRDefault="00B10534" w:rsidP="00B105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B1053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Biography</w:t>
      </w:r>
    </w:p>
    <w:p w:rsidR="00B10534" w:rsidRPr="00B10534" w:rsidRDefault="00B10534" w:rsidP="00B105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B10534" w:rsidRDefault="00B10534" w:rsidP="00B105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Ali</w:t>
      </w:r>
      <w:r w:rsidR="00FC52E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is </w:t>
      </w:r>
      <w:r w:rsidR="00CC01D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 seasoned</w:t>
      </w:r>
      <w:r w:rsidR="00FC52E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academic </w:t>
      </w:r>
      <w:r w:rsidR="00FB5D2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from</w:t>
      </w:r>
      <w:r w:rsidR="00FC52E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the Department of Microbiology, University of Jos. She has completed her PhD </w:t>
      </w:r>
      <w:r w:rsidR="009072B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from the Abbubakar Tafawa Balewa University Bauchi</w:t>
      </w:r>
      <w:r w:rsidR="00FB5D2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 Nigeria</w:t>
      </w:r>
      <w:r w:rsidR="009072B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.</w:t>
      </w:r>
      <w:r w:rsidR="00CC01D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She has been teaching several causes in general Microbiology and Parasitology with about </w:t>
      </w:r>
      <w:r w:rsidR="00B6292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20 years of experience in the field. She has published more than 12 papers in </w:t>
      </w:r>
      <w:r w:rsidR="00FA6AF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reputable peer-reviewed journals of both local and international status. She has also supervised several</w:t>
      </w:r>
      <w:r w:rsidR="0001103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undergraduate projects in Microbiology and Parasitology. Ali had worn</w:t>
      </w:r>
      <w:r w:rsidR="00751D5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01103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research grants from both National and interna</w:t>
      </w:r>
      <w:r w:rsidR="00751D5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tiona</w:t>
      </w:r>
      <w:r w:rsidR="0001103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l </w:t>
      </w:r>
      <w:r w:rsidR="00751D5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bodies, some of which are still on-going.</w:t>
      </w:r>
      <w:r w:rsidR="009072B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</w:p>
    <w:p w:rsidR="00B10534" w:rsidRDefault="00B10534" w:rsidP="00B105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B10534" w:rsidRDefault="00B10534" w:rsidP="00B105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B10534" w:rsidRPr="00B10534" w:rsidRDefault="00B10534" w:rsidP="00B10534">
      <w:pPr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sz w:val="24"/>
          <w:szCs w:val="32"/>
          <w:lang w:val="it-IT" w:eastAsia="it-IT"/>
        </w:rPr>
      </w:pPr>
      <w:r w:rsidRPr="00B1053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</w:p>
    <w:sectPr w:rsidR="00B10534" w:rsidRPr="00B105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B45"/>
    <w:rsid w:val="0001103E"/>
    <w:rsid w:val="00022C8F"/>
    <w:rsid w:val="00030B45"/>
    <w:rsid w:val="00041228"/>
    <w:rsid w:val="0008285A"/>
    <w:rsid w:val="000B33AC"/>
    <w:rsid w:val="000D5812"/>
    <w:rsid w:val="001C0AE1"/>
    <w:rsid w:val="00236519"/>
    <w:rsid w:val="00290B8C"/>
    <w:rsid w:val="0032387A"/>
    <w:rsid w:val="003A227A"/>
    <w:rsid w:val="003E111D"/>
    <w:rsid w:val="00452876"/>
    <w:rsid w:val="00455E97"/>
    <w:rsid w:val="00512725"/>
    <w:rsid w:val="0056377B"/>
    <w:rsid w:val="00577910"/>
    <w:rsid w:val="0058088B"/>
    <w:rsid w:val="005A3427"/>
    <w:rsid w:val="005C56C5"/>
    <w:rsid w:val="005D28E4"/>
    <w:rsid w:val="006114B0"/>
    <w:rsid w:val="006137C1"/>
    <w:rsid w:val="00680D7C"/>
    <w:rsid w:val="006E464E"/>
    <w:rsid w:val="007019E9"/>
    <w:rsid w:val="00751D5C"/>
    <w:rsid w:val="007935EF"/>
    <w:rsid w:val="007B6DAA"/>
    <w:rsid w:val="008072FC"/>
    <w:rsid w:val="00821BA5"/>
    <w:rsid w:val="0086794A"/>
    <w:rsid w:val="008C10F4"/>
    <w:rsid w:val="009072B6"/>
    <w:rsid w:val="00915C8A"/>
    <w:rsid w:val="009333C3"/>
    <w:rsid w:val="00947699"/>
    <w:rsid w:val="00953DCC"/>
    <w:rsid w:val="009A764C"/>
    <w:rsid w:val="009C25F3"/>
    <w:rsid w:val="00A72764"/>
    <w:rsid w:val="00A90C25"/>
    <w:rsid w:val="00AE09A1"/>
    <w:rsid w:val="00AE59B0"/>
    <w:rsid w:val="00B10534"/>
    <w:rsid w:val="00B22299"/>
    <w:rsid w:val="00B35906"/>
    <w:rsid w:val="00B62920"/>
    <w:rsid w:val="00B633E5"/>
    <w:rsid w:val="00B81C36"/>
    <w:rsid w:val="00C547A0"/>
    <w:rsid w:val="00CC01D2"/>
    <w:rsid w:val="00D46D0A"/>
    <w:rsid w:val="00D91D9E"/>
    <w:rsid w:val="00E105CC"/>
    <w:rsid w:val="00E7787A"/>
    <w:rsid w:val="00EF2E84"/>
    <w:rsid w:val="00F136C2"/>
    <w:rsid w:val="00F24E98"/>
    <w:rsid w:val="00F5370D"/>
    <w:rsid w:val="00FA0D5B"/>
    <w:rsid w:val="00FA301E"/>
    <w:rsid w:val="00FA6AF0"/>
    <w:rsid w:val="00FB5D2B"/>
    <w:rsid w:val="00FC52E3"/>
    <w:rsid w:val="00FD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14163F-0E31-4DE8-B9D4-C06A5BB40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B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2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Murna</dc:creator>
  <cp:lastModifiedBy>MURNA</cp:lastModifiedBy>
  <cp:revision>6</cp:revision>
  <dcterms:created xsi:type="dcterms:W3CDTF">2017-03-21T11:54:00Z</dcterms:created>
  <dcterms:modified xsi:type="dcterms:W3CDTF">2017-06-29T19:22:00Z</dcterms:modified>
</cp:coreProperties>
</file>