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170"/>
        <w:ind w:left="0"/>
        <w:jc w:val="center"/>
        <w:rPr>
          <w:color w:val="337AB7"/>
        </w:rPr>
      </w:pPr>
      <w:r>
        <w:rPr>
          <w:color w:val="337AB7"/>
        </w:rPr>
        <w:t>Schistosoma japoni induced coagulation and fibrinolysis dysfunction - a case-control study</w:t>
      </w:r>
    </w:p>
    <w:p>
      <w:pPr>
        <w:rPr>
          <w:rFonts w:ascii="Arial" w:hAnsi="Tw Cen MT" w:eastAsia="Tw Cen MT" w:cs="Tw Cen MT"/>
          <w:sz w:val="18"/>
          <w:szCs w:val="18"/>
          <w:lang w:val="en-US" w:eastAsia="en-US" w:bidi="ar-SA"/>
        </w:rPr>
      </w:pPr>
      <w:r>
        <w:rPr>
          <w:rFonts w:hint="eastAsia" w:eastAsia="宋体"/>
          <w:bCs/>
          <w:iCs/>
          <w:lang w:val="en-US" w:eastAsia="zh-CN"/>
        </w:rPr>
        <w:t xml:space="preserve">        </w:t>
      </w:r>
      <w:r>
        <w:rPr>
          <w:rFonts w:hint="eastAsia" w:ascii="Arial" w:hAnsi="Tw Cen MT" w:eastAsia="Tw Cen MT" w:cs="Tw Cen MT"/>
          <w:sz w:val="18"/>
          <w:szCs w:val="18"/>
          <w:lang w:val="en-US" w:eastAsia="zh-CN" w:bidi="ar-SA"/>
        </w:rPr>
        <w:t xml:space="preserve"> </w:t>
      </w:r>
      <w:r>
        <w:rPr>
          <w:rFonts w:ascii="Arial" w:hAnsi="Tw Cen MT" w:eastAsia="Tw Cen MT" w:cs="Tw Cen MT"/>
          <w:sz w:val="18"/>
          <w:szCs w:val="18"/>
          <w:lang w:val="en-US" w:eastAsia="en-US" w:bidi="ar-SA"/>
        </w:rPr>
        <w:t>An</w:t>
      </w:r>
      <w:r>
        <w:rPr>
          <w:rFonts w:hint="eastAsia" w:ascii="Arial" w:hAnsi="Tw Cen MT" w:eastAsia="Tw Cen MT" w:cs="Tw Cen MT"/>
          <w:sz w:val="18"/>
          <w:szCs w:val="18"/>
          <w:lang w:val="en-US" w:eastAsia="zh-CN" w:bidi="ar-SA"/>
        </w:rPr>
        <w:t xml:space="preserve"> </w:t>
      </w:r>
      <w:r>
        <w:rPr>
          <w:rFonts w:ascii="Arial" w:hAnsi="Tw Cen MT" w:eastAsia="Tw Cen MT" w:cs="Tw Cen MT"/>
          <w:sz w:val="18"/>
          <w:szCs w:val="18"/>
          <w:lang w:val="en-US" w:eastAsia="en-US" w:bidi="ar-SA"/>
        </w:rPr>
        <w:t>N</w:t>
      </w:r>
      <w:r>
        <w:rPr>
          <w:rFonts w:hint="eastAsia" w:ascii="Arial" w:hAnsi="Tw Cen MT" w:eastAsia="Tw Cen MT" w:cs="Tw Cen MT"/>
          <w:sz w:val="18"/>
          <w:szCs w:val="18"/>
          <w:lang w:val="en-US" w:eastAsia="zh-CN" w:bidi="ar-SA"/>
        </w:rPr>
        <w:t>ing，</w:t>
      </w:r>
      <w:r>
        <w:rPr>
          <w:rFonts w:ascii="Arial" w:hAnsi="Tw Cen MT" w:eastAsia="Tw Cen MT" w:cs="Tw Cen MT"/>
          <w:sz w:val="18"/>
          <w:szCs w:val="18"/>
          <w:lang w:val="en-US" w:eastAsia="en-US" w:bidi="ar-SA"/>
        </w:rPr>
        <w:t>Jiangxi Provincial Institute of Parasitic Diseases,</w:t>
      </w:r>
      <w:r>
        <w:rPr>
          <w:rFonts w:hint="eastAsia" w:ascii="Arial" w:hAnsi="Tw Cen MT" w:eastAsia="Tw Cen MT" w:cs="Tw Cen MT"/>
          <w:sz w:val="18"/>
          <w:szCs w:val="18"/>
          <w:lang w:val="en-US" w:eastAsia="zh-CN" w:bidi="ar-SA"/>
        </w:rPr>
        <w:t>P.R.</w:t>
      </w:r>
      <w:r>
        <w:rPr>
          <w:rFonts w:ascii="Arial" w:hAnsi="Tw Cen MT" w:eastAsia="Tw Cen MT" w:cs="Tw Cen MT"/>
          <w:sz w:val="18"/>
          <w:szCs w:val="18"/>
          <w:lang w:val="en-US" w:eastAsia="en-US" w:bidi="ar-SA"/>
        </w:rPr>
        <w:t xml:space="preserve"> China</w:t>
      </w:r>
    </w:p>
    <w:p>
      <w:pPr>
        <w:rPr>
          <w:rFonts w:hint="eastAsia" w:ascii="Arial" w:hAnsi="Tw Cen MT" w:eastAsia="宋体" w:cs="Tw Cen MT"/>
          <w:sz w:val="18"/>
          <w:szCs w:val="18"/>
          <w:lang w:val="en-US" w:eastAsia="zh-CN" w:bidi="ar-SA"/>
        </w:rPr>
      </w:pPr>
      <w:r>
        <w:rPr>
          <w:rFonts w:hint="eastAsia" w:ascii="Arial" w:eastAsia="宋体" w:cs="Tw Cen MT"/>
          <w:sz w:val="18"/>
          <w:szCs w:val="18"/>
          <w:lang w:val="en-US" w:eastAsia="zh-CN" w:bidi="ar-SA"/>
        </w:rPr>
        <w:t xml:space="preserve">           Yiwen Liu,</w:t>
      </w:r>
      <w:r>
        <w:rPr>
          <w:rFonts w:ascii="Arial" w:hAnsi="Tw Cen MT" w:eastAsia="Tw Cen MT" w:cs="Tw Cen MT"/>
          <w:sz w:val="18"/>
          <w:szCs w:val="18"/>
          <w:lang w:val="en-US" w:eastAsia="en-US" w:bidi="ar-SA"/>
        </w:rPr>
        <w:t>Jiangxi Provincial Institute of Parasitic Diseases,</w:t>
      </w:r>
      <w:r>
        <w:rPr>
          <w:rFonts w:hint="eastAsia" w:ascii="Arial" w:hAnsi="Tw Cen MT" w:eastAsia="Tw Cen MT" w:cs="Tw Cen MT"/>
          <w:sz w:val="18"/>
          <w:szCs w:val="18"/>
          <w:lang w:val="en-US" w:eastAsia="zh-CN" w:bidi="ar-SA"/>
        </w:rPr>
        <w:t>P.R.</w:t>
      </w:r>
      <w:r>
        <w:rPr>
          <w:rFonts w:ascii="Arial" w:hAnsi="Tw Cen MT" w:eastAsia="Tw Cen MT" w:cs="Tw Cen MT"/>
          <w:sz w:val="18"/>
          <w:szCs w:val="18"/>
          <w:lang w:val="en-US" w:eastAsia="en-US" w:bidi="ar-SA"/>
        </w:rPr>
        <w:t xml:space="preserve"> China</w:t>
      </w:r>
    </w:p>
    <w:p>
      <w:pPr>
        <w:rPr>
          <w:rFonts w:hint="eastAsia" w:ascii="Arial" w:hAnsi="Tw Cen MT" w:eastAsia="宋体" w:cs="Tw Cen MT"/>
          <w:sz w:val="18"/>
          <w:szCs w:val="18"/>
          <w:lang w:val="en-US" w:eastAsia="zh-CN" w:bidi="ar-SA"/>
        </w:rPr>
      </w:pPr>
    </w:p>
    <w:p>
      <w:pPr>
        <w:pStyle w:val="3"/>
        <w:spacing w:before="147"/>
        <w:jc w:val="both"/>
      </w:pPr>
      <w:r>
        <w:rPr>
          <w:color w:val="BF5A14"/>
        </w:rPr>
        <w:t>Abstract (300 word limit)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left"/>
        <w:textAlignment w:val="auto"/>
        <w:outlineLvl w:val="9"/>
        <w:rPr>
          <w:sz w:val="22"/>
          <w:lang w:val="en-GB"/>
        </w:rPr>
      </w:pPr>
      <w:r>
        <w:rPr>
          <w:b/>
          <w:bCs/>
          <w:sz w:val="22"/>
        </w:rPr>
        <w:t>Objective</w:t>
      </w:r>
      <w:r>
        <w:rPr>
          <w:rFonts w:hint="eastAsia"/>
          <w:b/>
          <w:bCs/>
          <w:sz w:val="22"/>
          <w:lang w:val="en-US" w:eastAsia="zh-CN"/>
        </w:rPr>
        <w:t xml:space="preserve">  </w:t>
      </w:r>
      <w:r>
        <w:rPr>
          <w:sz w:val="22"/>
          <w:lang w:val="en-GB"/>
        </w:rPr>
        <w:t>Schistosomiasis japonica</w:t>
      </w:r>
      <w:r>
        <w:rPr>
          <w:rFonts w:hint="eastAsia" w:eastAsia="宋体"/>
          <w:sz w:val="22"/>
          <w:lang w:val="en-US" w:eastAsia="zh-CN"/>
        </w:rPr>
        <w:t xml:space="preserve"> is </w:t>
      </w:r>
      <w:r>
        <w:rPr>
          <w:sz w:val="22"/>
          <w:lang w:val="en-GB"/>
        </w:rPr>
        <w:t xml:space="preserve">pathologically characterised by liver inflammation and fibrosis. Although coagulation, fibrinolysis, and inflammation are affected and increased D-dimer levels have been </w:t>
      </w:r>
      <w:r>
        <w:rPr>
          <w:sz w:val="22"/>
        </w:rPr>
        <w:t>noted</w:t>
      </w:r>
      <w:r>
        <w:rPr>
          <w:sz w:val="22"/>
          <w:lang w:val="en-GB"/>
        </w:rPr>
        <w:t>, the mechanisms remain unclear.</w:t>
      </w:r>
      <w:r>
        <w:rPr>
          <w:b w:val="0"/>
          <w:bCs/>
          <w:sz w:val="22"/>
          <w:lang w:val="en-GB"/>
        </w:rPr>
        <w:t xml:space="preserve"> </w:t>
      </w:r>
      <w:r>
        <w:rPr>
          <w:b/>
          <w:bCs/>
          <w:sz w:val="22"/>
          <w:lang w:val="en-GB"/>
        </w:rPr>
        <w:t>Methods</w:t>
      </w:r>
      <w:r>
        <w:rPr>
          <w:b/>
          <w:bCs/>
          <w:sz w:val="22"/>
        </w:rPr>
        <w:t xml:space="preserve"> </w:t>
      </w:r>
      <w:r>
        <w:rPr>
          <w:sz w:val="22"/>
          <w:lang w:val="en-GB"/>
        </w:rPr>
        <w:t>150 patients with chronic schistosomiasis</w:t>
      </w:r>
      <w:r>
        <w:rPr>
          <w:rFonts w:hint="eastAsia"/>
          <w:sz w:val="22"/>
          <w:lang w:val="en-US" w:eastAsia="zh-CN"/>
        </w:rPr>
        <w:t xml:space="preserve"> as chronic schistosomaiasis group</w:t>
      </w:r>
      <w:r>
        <w:rPr>
          <w:sz w:val="22"/>
          <w:lang w:val="en-GB"/>
        </w:rPr>
        <w:t>, 90 patients with advanced schistosomiasis</w:t>
      </w:r>
      <w:r>
        <w:rPr>
          <w:rFonts w:hint="eastAsia"/>
          <w:sz w:val="22"/>
          <w:lang w:val="en-US" w:eastAsia="zh-CN"/>
        </w:rPr>
        <w:t xml:space="preserve"> as advanced schistosomaiasis group</w:t>
      </w:r>
      <w:r>
        <w:rPr>
          <w:rFonts w:hint="eastAsia"/>
          <w:sz w:val="22"/>
          <w:lang w:val="en-GB" w:eastAsia="zh-CN"/>
        </w:rPr>
        <w:t>，</w:t>
      </w:r>
      <w:r>
        <w:rPr>
          <w:sz w:val="22"/>
          <w:lang w:val="en-GB"/>
        </w:rPr>
        <w:t>and 69 healthy residents in this study</w:t>
      </w:r>
      <w:r>
        <w:rPr>
          <w:rFonts w:hint="eastAsia"/>
          <w:sz w:val="22"/>
          <w:lang w:val="en-US" w:eastAsia="zh-CN"/>
        </w:rPr>
        <w:t xml:space="preserve"> as control group</w:t>
      </w:r>
      <w:r>
        <w:rPr>
          <w:sz w:val="22"/>
          <w:lang w:val="en-GB"/>
        </w:rPr>
        <w:t xml:space="preserve">. Liver function, blood coagulation, liver fibrosis and routine blood test data were </w:t>
      </w:r>
      <w:r>
        <w:rPr>
          <w:sz w:val="22"/>
        </w:rPr>
        <w:t>gathered</w:t>
      </w:r>
      <w:r>
        <w:rPr>
          <w:sz w:val="22"/>
          <w:lang w:val="en-GB"/>
        </w:rPr>
        <w:t>.ELISAs were used to measure tissue-type plasminogen activator (t-PA) and urokinase (u-PA), plasmin/anti-plasmin complex (PAP), plasminogen (PLG), anti</w:t>
      </w:r>
      <w:r>
        <w:rPr>
          <w:sz w:val="22"/>
        </w:rPr>
        <w:t>-</w:t>
      </w:r>
      <w:r>
        <w:rPr>
          <w:sz w:val="22"/>
          <w:lang w:val="en-GB"/>
        </w:rPr>
        <w:t xml:space="preserve">thrombin (AT), and plasminogen activator inhibitor 1 (PAI1) levels. D-dimer levels were </w:t>
      </w:r>
      <w:r>
        <w:rPr>
          <w:sz w:val="22"/>
        </w:rPr>
        <w:t xml:space="preserve">monitored </w:t>
      </w:r>
      <w:r>
        <w:rPr>
          <w:sz w:val="22"/>
          <w:lang w:val="en-GB"/>
        </w:rPr>
        <w:t>using the immune turbidity method, and coagulation factor VIII (FVIII) was measured using the coagulation method.</w:t>
      </w:r>
      <w:r>
        <w:rPr>
          <w:rFonts w:ascii="Arial" w:hAnsi="Arial" w:cs="Arial"/>
          <w:color w:val="333333"/>
        </w:rPr>
        <w:t xml:space="preserve"> </w:t>
      </w:r>
      <w:r>
        <w:rPr>
          <w:sz w:val="22"/>
          <w:lang w:val="en-GB"/>
        </w:rPr>
        <w:t>Antithrombin III (AT-III</w:t>
      </w:r>
      <w:r>
        <w:rPr>
          <w:sz w:val="22"/>
        </w:rPr>
        <w:t>)</w:t>
      </w:r>
      <w:r>
        <w:rPr>
          <w:sz w:val="22"/>
          <w:lang w:val="en-GB"/>
        </w:rPr>
        <w:t xml:space="preserve">, PLG, Protein S, and Protein C activities were measured via the chromogenic substrate method. </w:t>
      </w:r>
      <w:r>
        <w:rPr>
          <w:b/>
          <w:bCs/>
          <w:sz w:val="22"/>
          <w:lang w:val="en-GB"/>
        </w:rPr>
        <w:t>Results</w:t>
      </w:r>
      <w:r>
        <w:rPr>
          <w:rFonts w:hint="eastAsia"/>
          <w:b/>
          <w:bCs/>
          <w:sz w:val="22"/>
          <w:lang w:val="en-US" w:eastAsia="zh-CN"/>
        </w:rPr>
        <w:t xml:space="preserve"> </w:t>
      </w:r>
      <w:r>
        <w:rPr>
          <w:sz w:val="22"/>
          <w:lang w:val="en-GB"/>
        </w:rPr>
        <w:t>Although the indicators of coagulation duration (prothrombin time (PT ) , activated partial thromboplastin time (APTT ) , thrombin time (TT ) , and</w:t>
      </w:r>
      <w:r>
        <w:rPr>
          <w:b/>
          <w:sz w:val="22"/>
          <w:lang w:val="en-GB"/>
        </w:rPr>
        <w:t xml:space="preserve"> fibrinogen (Fbg ) level )</w:t>
      </w:r>
      <w:r>
        <w:rPr>
          <w:sz w:val="22"/>
          <w:lang w:val="en-GB"/>
        </w:rPr>
        <w:t xml:space="preserve"> were not significantly different between the case and control groups , the plasma levels </w:t>
      </w:r>
      <w:r>
        <w:rPr>
          <w:rFonts w:hint="eastAsia"/>
          <w:sz w:val="22"/>
          <w:lang w:val="en-US" w:eastAsia="zh-CN"/>
        </w:rPr>
        <w:t>D-Dimer，</w:t>
      </w:r>
      <w:r>
        <w:rPr>
          <w:sz w:val="22"/>
          <w:lang w:val="en-GB"/>
        </w:rPr>
        <w:t>FVIII ,  PAP , and plasmin activators (t-PA and u-PA ) were significantly increased in the cases compared to the controls . These levels were further elevated to the advanced patients compared with the chronic patients (P&lt;0.05 ) . Anti-coagulation proteins , including AT-III , PLG , PC , and PS , and anti-plasmin activators (PAI1 ) were decreased in the patient cases compared with the healthy controls , and these level was further decreased from the advanced patients compared with the chronic patients (P&lt;0.01 ).</w:t>
      </w:r>
      <w:r>
        <w:rPr>
          <w:rFonts w:hint="eastAsia"/>
          <w:sz w:val="22"/>
          <w:lang w:val="en-US" w:eastAsia="zh-CN"/>
        </w:rPr>
        <w:t xml:space="preserve"> </w:t>
      </w:r>
      <w:r>
        <w:rPr>
          <w:sz w:val="22"/>
          <w:lang w:val="en-GB"/>
        </w:rPr>
        <w:t xml:space="preserve">Conclusions </w:t>
      </w:r>
      <w:r>
        <w:rPr>
          <w:rFonts w:hint="eastAsia"/>
          <w:sz w:val="22"/>
          <w:lang w:val="en-US" w:eastAsia="zh-CN"/>
        </w:rPr>
        <w:t xml:space="preserve"> </w:t>
      </w:r>
      <w:r>
        <w:rPr>
          <w:sz w:val="22"/>
          <w:lang w:val="en-GB"/>
        </w:rPr>
        <w:t xml:space="preserve">Schistosoma induced specific pathological variations </w:t>
      </w:r>
      <w:r>
        <w:rPr>
          <w:sz w:val="22"/>
        </w:rPr>
        <w:t>on</w:t>
      </w:r>
      <w:r>
        <w:rPr>
          <w:sz w:val="22"/>
          <w:lang w:val="en-GB"/>
        </w:rPr>
        <w:t xml:space="preserve"> concomitant increases in coagulation and fibrinolysis that led to the inhibition of infection-induced thrombi in the vessels and a </w:t>
      </w:r>
      <w:r>
        <w:rPr>
          <w:rFonts w:hint="eastAsia"/>
          <w:sz w:val="22"/>
          <w:lang w:val="en-US" w:eastAsia="zh-CN"/>
        </w:rPr>
        <w:t>in</w:t>
      </w:r>
      <w:r>
        <w:rPr>
          <w:sz w:val="22"/>
          <w:lang w:val="en-GB"/>
        </w:rPr>
        <w:t xml:space="preserve">crease in D-dimers to preserve blood flow. </w:t>
      </w:r>
    </w:p>
    <w:p>
      <w:pPr>
        <w:spacing w:before="92"/>
        <w:ind w:right="4234"/>
        <w:rPr>
          <w:rFonts w:hint="eastAsia" w:ascii="Arial" w:eastAsia="宋体"/>
          <w:color w:val="BF5A14"/>
          <w:lang w:val="en-US" w:eastAsia="zh-CN"/>
        </w:rPr>
      </w:pPr>
      <w:r>
        <w:rPr>
          <w:rFonts w:hint="eastAsia" w:ascii="Arial" w:eastAsia="宋体"/>
          <w:color w:val="BF5A14"/>
          <w:lang w:val="en-US" w:eastAsia="zh-CN"/>
        </w:rPr>
        <w:t xml:space="preserve">             </w:t>
      </w:r>
    </w:p>
    <w:p>
      <w:pPr>
        <w:spacing w:before="92"/>
        <w:ind w:right="4234"/>
        <w:rPr>
          <w:rFonts w:hint="eastAsia" w:ascii="Arial" w:eastAsia="宋体"/>
          <w:color w:val="BF5A14"/>
          <w:lang w:val="en-US" w:eastAsia="zh-CN"/>
        </w:rPr>
      </w:pPr>
    </w:p>
    <w:p>
      <w:pPr>
        <w:spacing w:before="92"/>
        <w:ind w:right="4234"/>
        <w:rPr>
          <w:rFonts w:hint="eastAsia" w:ascii="Arial" w:eastAsia="宋体"/>
          <w:color w:val="BF5A14"/>
          <w:lang w:val="en-US" w:eastAsia="zh-CN"/>
        </w:rPr>
      </w:pPr>
    </w:p>
    <w:p>
      <w:pPr>
        <w:spacing w:before="92"/>
        <w:ind w:right="4234"/>
        <w:rPr>
          <w:rFonts w:hint="eastAsia" w:ascii="Arial" w:eastAsia="宋体"/>
          <w:color w:val="BF5A14"/>
          <w:lang w:val="en-US" w:eastAsia="zh-CN"/>
        </w:rPr>
      </w:pPr>
      <w: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165735</wp:posOffset>
            </wp:positionV>
            <wp:extent cx="697230" cy="1066165"/>
            <wp:effectExtent l="0" t="0" r="3810" b="635"/>
            <wp:wrapNone/>
            <wp:docPr id="1" name="图片 2" descr="宁安标准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宁安标准照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97230" cy="10661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Arial" w:eastAsia="宋体"/>
          <w:color w:val="BF5A14"/>
          <w:lang w:val="en-US" w:eastAsia="zh-CN"/>
        </w:rPr>
        <w:t xml:space="preserve">            </w:t>
      </w:r>
    </w:p>
    <w:p>
      <w:pPr>
        <w:spacing w:before="92"/>
        <w:ind w:right="4234"/>
        <w:rPr>
          <w:rFonts w:hint="eastAsia" w:ascii="Arial" w:eastAsia="宋体"/>
          <w:color w:val="BF5A14"/>
          <w:lang w:val="en-US" w:eastAsia="zh-CN"/>
        </w:rPr>
      </w:pPr>
    </w:p>
    <w:p>
      <w:pPr>
        <w:spacing w:before="92"/>
        <w:ind w:right="4234"/>
        <w:rPr>
          <w:rFonts w:hint="eastAsia" w:ascii="Arial" w:eastAsia="宋体"/>
          <w:color w:val="BF5A14"/>
          <w:lang w:val="en-US" w:eastAsia="zh-CN"/>
        </w:rPr>
      </w:pPr>
    </w:p>
    <w:p>
      <w:pPr>
        <w:spacing w:before="92"/>
        <w:ind w:right="4234"/>
        <w:rPr>
          <w:rFonts w:ascii="Arial"/>
          <w:color w:val="BF5A14"/>
        </w:rPr>
      </w:pPr>
      <w:r>
        <w:rPr>
          <w:rFonts w:hint="eastAsia" w:ascii="Arial" w:eastAsia="宋体"/>
          <w:color w:val="BF5A14"/>
          <w:lang w:val="en-US" w:eastAsia="zh-CN"/>
        </w:rPr>
        <w:t xml:space="preserve">            </w:t>
      </w:r>
      <w:r>
        <w:rPr>
          <w:rFonts w:ascii="Arial"/>
          <w:color w:val="BF5A14"/>
        </w:rPr>
        <w:t>Biography (150 word limit)</w:t>
      </w:r>
    </w:p>
    <w:p>
      <w:pPr>
        <w:spacing w:before="92"/>
        <w:ind w:right="4234"/>
        <w:rPr>
          <w:rFonts w:ascii="Arial"/>
          <w:color w:val="BF5A14"/>
        </w:rPr>
      </w:pPr>
    </w:p>
    <w:p>
      <w:pPr>
        <w:spacing w:before="92"/>
        <w:ind w:right="4234"/>
        <w:rPr>
          <w:rFonts w:ascii="Arial"/>
          <w:color w:val="BF5A14"/>
        </w:rPr>
      </w:pPr>
    </w:p>
    <w:p>
      <w:pPr>
        <w:pStyle w:val="11"/>
      </w:pPr>
      <w:r>
        <w:t>窗体顶端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left"/>
        <w:textAlignment w:val="auto"/>
        <w:outlineLvl w:val="9"/>
        <w:rPr>
          <w:sz w:val="22"/>
          <w:lang w:val="en-GB"/>
        </w:rPr>
      </w:pPr>
      <w:r>
        <w:rPr>
          <w:rFonts w:hint="eastAsia"/>
          <w:sz w:val="22"/>
          <w:lang w:val="en-US" w:eastAsia="zh-CN"/>
        </w:rPr>
        <w:t xml:space="preserve">    An </w:t>
      </w:r>
      <w:r>
        <w:rPr>
          <w:sz w:val="22"/>
          <w:lang w:val="en-US" w:eastAsia="zh-CN"/>
        </w:rPr>
        <w:t>Ning</w:t>
      </w:r>
      <w:r>
        <w:rPr>
          <w:rFonts w:hint="eastAsia"/>
          <w:sz w:val="22"/>
          <w:lang w:val="en-US" w:eastAsia="zh-CN"/>
        </w:rPr>
        <w:t xml:space="preserve">,vice director of </w:t>
      </w:r>
      <w:r>
        <w:rPr>
          <w:sz w:val="22"/>
          <w:lang w:val="en-US" w:eastAsia="en-US"/>
        </w:rPr>
        <w:t>Jiangxi Provincial Institute of Parasitic Diseases</w:t>
      </w:r>
      <w:r>
        <w:rPr>
          <w:sz w:val="22"/>
          <w:lang w:val="en-US" w:eastAsia="zh-CN"/>
        </w:rPr>
        <w:t>, chief physician, engaged in</w:t>
      </w:r>
      <w:r>
        <w:rPr>
          <w:rFonts w:hint="eastAsia"/>
          <w:sz w:val="22"/>
          <w:lang w:val="en-US" w:eastAsia="zh-CN"/>
        </w:rPr>
        <w:t xml:space="preserve"> the</w:t>
      </w:r>
      <w:r>
        <w:rPr>
          <w:sz w:val="22"/>
          <w:lang w:val="en-US" w:eastAsia="zh-CN"/>
        </w:rPr>
        <w:t xml:space="preserve">research </w:t>
      </w:r>
      <w:r>
        <w:rPr>
          <w:rFonts w:hint="eastAsia"/>
          <w:sz w:val="22"/>
          <w:lang w:val="en-US" w:eastAsia="zh-CN"/>
        </w:rPr>
        <w:t xml:space="preserve">of </w:t>
      </w:r>
      <w:r>
        <w:rPr>
          <w:sz w:val="22"/>
          <w:lang w:val="en-US" w:eastAsia="zh-CN"/>
        </w:rPr>
        <w:t>parasitic disease</w:t>
      </w:r>
      <w:r>
        <w:rPr>
          <w:rFonts w:hint="eastAsia"/>
          <w:sz w:val="22"/>
          <w:lang w:val="en-US" w:eastAsia="zh-CN"/>
        </w:rPr>
        <w:t xml:space="preserve"> </w:t>
      </w:r>
      <w:r>
        <w:rPr>
          <w:sz w:val="22"/>
          <w:lang w:val="en-US" w:eastAsia="zh-CN"/>
        </w:rPr>
        <w:t xml:space="preserve">control </w:t>
      </w:r>
      <w:r>
        <w:rPr>
          <w:rFonts w:hint="eastAsia"/>
          <w:sz w:val="22"/>
          <w:lang w:val="en-US" w:eastAsia="zh-CN"/>
        </w:rPr>
        <w:t xml:space="preserve">for </w:t>
      </w:r>
      <w:r>
        <w:rPr>
          <w:sz w:val="22"/>
          <w:lang w:val="en-US" w:eastAsia="zh-CN"/>
        </w:rPr>
        <w:t>36 years</w:t>
      </w:r>
      <w:r>
        <w:rPr>
          <w:rFonts w:hint="eastAsia"/>
          <w:sz w:val="22"/>
          <w:lang w:val="en-US" w:eastAsia="zh-CN"/>
        </w:rPr>
        <w:t xml:space="preserve">,has his </w:t>
      </w:r>
      <w:r>
        <w:rPr>
          <w:sz w:val="22"/>
          <w:lang w:val="en-US" w:eastAsia="zh-CN"/>
        </w:rPr>
        <w:t>expertise</w:t>
      </w:r>
      <w:r>
        <w:rPr>
          <w:rFonts w:hint="eastAsia"/>
          <w:sz w:val="22"/>
          <w:lang w:val="en-US" w:eastAsia="zh-CN"/>
        </w:rPr>
        <w:t xml:space="preserve"> in</w:t>
      </w:r>
      <w:r>
        <w:rPr>
          <w:sz w:val="22"/>
          <w:lang w:val="en-US" w:eastAsia="zh-CN"/>
        </w:rPr>
        <w:t xml:space="preserve"> the imaging and treatment </w:t>
      </w:r>
      <w:r>
        <w:rPr>
          <w:rFonts w:hint="eastAsia"/>
          <w:sz w:val="22"/>
          <w:lang w:val="en-US" w:eastAsia="zh-CN"/>
        </w:rPr>
        <w:t>of advanced</w:t>
      </w:r>
      <w:r>
        <w:rPr>
          <w:sz w:val="22"/>
          <w:lang w:val="en-US" w:eastAsia="zh-CN"/>
        </w:rPr>
        <w:t xml:space="preserve"> schistosomiasis patients. </w:t>
      </w:r>
      <w:r>
        <w:rPr>
          <w:rFonts w:hint="eastAsia"/>
          <w:sz w:val="22"/>
          <w:lang w:val="en-US" w:eastAsia="zh-CN"/>
        </w:rPr>
        <w:t>He has v</w:t>
      </w:r>
      <w:r>
        <w:rPr>
          <w:sz w:val="22"/>
          <w:lang w:val="en-US" w:eastAsia="zh-CN"/>
        </w:rPr>
        <w:t xml:space="preserve">isited South Korea and studied in Japan. Hosted and participated in the national, provincial, </w:t>
      </w:r>
      <w:r>
        <w:rPr>
          <w:rFonts w:hint="eastAsia"/>
          <w:sz w:val="22"/>
          <w:lang w:val="en-US" w:eastAsia="zh-CN"/>
        </w:rPr>
        <w:t xml:space="preserve">and </w:t>
      </w:r>
      <w:r>
        <w:rPr>
          <w:sz w:val="22"/>
          <w:lang w:val="en-US" w:eastAsia="zh-CN"/>
        </w:rPr>
        <w:t>international cooperati</w:t>
      </w:r>
      <w:r>
        <w:rPr>
          <w:rFonts w:hint="eastAsia"/>
          <w:sz w:val="22"/>
          <w:lang w:val="en-US" w:eastAsia="zh-CN"/>
        </w:rPr>
        <w:t>ng</w:t>
      </w:r>
      <w:r>
        <w:rPr>
          <w:sz w:val="22"/>
          <w:lang w:val="en-US" w:eastAsia="zh-CN"/>
        </w:rPr>
        <w:t xml:space="preserve"> scientific research projects ,published 68 papers ( </w:t>
      </w:r>
      <w:r>
        <w:rPr>
          <w:rFonts w:hint="eastAsia"/>
          <w:sz w:val="22"/>
          <w:lang w:val="en-US" w:eastAsia="zh-CN"/>
        </w:rPr>
        <w:t xml:space="preserve">including </w:t>
      </w:r>
      <w:r>
        <w:rPr>
          <w:sz w:val="22"/>
          <w:lang w:val="en-US" w:eastAsia="zh-CN"/>
        </w:rPr>
        <w:t>SCI paper 2) in international journals .</w:t>
      </w:r>
    </w:p>
    <w:p>
      <w:pPr>
        <w:rPr>
          <w:rFonts w:hint="eastAsia" w:eastAsia="宋体"/>
          <w:bCs/>
          <w:lang w:val="en-US" w:eastAsia="zh-CN"/>
        </w:rPr>
      </w:pPr>
      <w:r>
        <w:rPr>
          <w:rFonts w:hint="eastAsia" w:eastAsia="宋体"/>
          <w:bCs/>
          <w:lang w:val="en-US" w:eastAsia="zh-CN"/>
        </w:rPr>
        <w:t xml:space="preserve">                                       </w:t>
      </w:r>
      <w:r>
        <w:rPr>
          <w:rFonts w:ascii="Arial"/>
          <w:sz w:val="14"/>
        </w:rPr>
        <w:t xml:space="preserve">Email: </w:t>
      </w:r>
      <w:r>
        <w:fldChar w:fldCharType="begin"/>
      </w:r>
      <w:r>
        <w:instrText xml:space="preserve"> HYPERLINK "mailto:drXXXXXXX@xxxmail.com" </w:instrText>
      </w:r>
      <w:r>
        <w:fldChar w:fldCharType="separate"/>
      </w:r>
      <w:r>
        <w:rPr>
          <w:rStyle w:val="6"/>
          <w:rFonts w:hint="eastAsia" w:ascii="Arial" w:eastAsia="宋体"/>
          <w:sz w:val="14"/>
          <w:lang w:val="en-US" w:eastAsia="zh-CN"/>
        </w:rPr>
        <w:t>07046262</w:t>
      </w:r>
      <w:r>
        <w:rPr>
          <w:rStyle w:val="6"/>
          <w:rFonts w:ascii="Arial"/>
          <w:sz w:val="14"/>
        </w:rPr>
        <w:t>@</w:t>
      </w:r>
      <w:r>
        <w:rPr>
          <w:rStyle w:val="6"/>
          <w:rFonts w:hint="eastAsia" w:ascii="Arial" w:eastAsia="宋体"/>
          <w:sz w:val="14"/>
          <w:lang w:val="en-US" w:eastAsia="zh-CN"/>
        </w:rPr>
        <w:t>163</w:t>
      </w:r>
      <w:bookmarkStart w:id="0" w:name="_GoBack"/>
      <w:bookmarkEnd w:id="0"/>
      <w:r>
        <w:rPr>
          <w:rStyle w:val="6"/>
          <w:rFonts w:ascii="Arial"/>
          <w:sz w:val="14"/>
        </w:rPr>
        <w:t>.com</w:t>
      </w:r>
      <w:r>
        <w:rPr>
          <w:rStyle w:val="6"/>
          <w:rFonts w:ascii="Arial"/>
          <w:sz w:val="14"/>
        </w:rPr>
        <w:fldChar w:fldCharType="end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43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Tw Cen MT">
    <w:panose1 w:val="020B0602020104020603"/>
    <w:charset w:val="00"/>
    <w:family w:val="swiss"/>
    <w:pitch w:val="default"/>
    <w:sig w:usb0="00000003" w:usb1="00000000" w:usb2="00000000" w:usb3="00000000" w:csb0="20000003" w:csb1="00000000"/>
  </w:font>
  <w:font w:name="Minion Pro">
    <w:altName w:val="Cambria Math"/>
    <w:panose1 w:val="00000000000000000000"/>
    <w:charset w:val="00"/>
    <w:family w:val="roman"/>
    <w:pitch w:val="default"/>
    <w:sig w:usb0="00000000" w:usb1="00000000" w:usb2="00000000" w:usb3="00000000" w:csb0="0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yriad Pro">
    <w:altName w:val="Corbel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Cambria Math">
    <w:panose1 w:val="02040503050406030204"/>
    <w:charset w:val="00"/>
    <w:family w:val="auto"/>
    <w:pitch w:val="default"/>
    <w:sig w:usb0="E00002FF" w:usb1="420024FF" w:usb2="00000000" w:usb3="00000000" w:csb0="2000019F" w:csb1="00000000"/>
  </w:font>
  <w:font w:name="Corbel">
    <w:panose1 w:val="020B0503020204020204"/>
    <w:charset w:val="00"/>
    <w:family w:val="auto"/>
    <w:pitch w:val="default"/>
    <w:sig w:usb0="A00002EF" w:usb1="4000A44B" w:usb2="00000000" w:usb3="00000000" w:csb0="2000019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A0000287" w:usb1="28CF3C52" w:usb2="00000016" w:usb3="00000000" w:csb0="0004001F" w:csb1="00000000"/>
  </w:font>
  <w:font w:name="叶根友毛笔行书2.0版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Webdings">
    <w:panose1 w:val="05030102010509060703"/>
    <w:charset w:val="00"/>
    <w:family w:val="auto"/>
    <w:pitch w:val="default"/>
    <w:sig w:usb0="00000000" w:usb1="00000000" w:usb2="00000000" w:usb3="00000000" w:csb0="80000000" w:csb1="00000000"/>
  </w:font>
  <w:font w:name="方正兰亭超细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Batang">
    <w:panose1 w:val="02030600000101010101"/>
    <w:charset w:val="81"/>
    <w:family w:val="auto"/>
    <w:pitch w:val="default"/>
    <w:sig w:usb0="B00002AF" w:usb1="69D77CFB" w:usb2="00000030" w:usb3="00000000" w:csb0="4008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TimesNewRomanPSMT">
    <w:altName w:val="Times New Roman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TimesNewRomanPS-BoldMT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MT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-BoldMT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dvGulliv-B">
    <w:altName w:val="方正舒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AdvGulliv-R">
    <w:altName w:val="方正舒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NEU-HZ-Regular">
    <w:altName w:val="方正舒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2E9B586F"/>
    <w:rsid w:val="344721B7"/>
    <w:rsid w:val="40446E2B"/>
    <w:rsid w:val="5D8C0814"/>
    <w:rsid w:val="5F96549B"/>
    <w:rsid w:val="62097EE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w Cen MT" w:hAnsi="Tw Cen MT" w:eastAsia="Tw Cen MT" w:cs="Tw Cen MT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spacing w:before="47" w:line="400" w:lineRule="exact"/>
      <w:ind w:left="100"/>
      <w:outlineLvl w:val="0"/>
    </w:pPr>
    <w:rPr>
      <w:rFonts w:ascii="Minion Pro" w:hAnsi="Minion Pro" w:eastAsia="Minion Pro" w:cs="Minion Pro"/>
      <w:b/>
      <w:bCs/>
      <w:sz w:val="36"/>
      <w:szCs w:val="36"/>
    </w:rPr>
  </w:style>
  <w:style w:type="paragraph" w:styleId="3">
    <w:name w:val="heading 3"/>
    <w:basedOn w:val="1"/>
    <w:next w:val="1"/>
    <w:unhideWhenUsed/>
    <w:qFormat/>
    <w:uiPriority w:val="0"/>
    <w:pPr>
      <w:ind w:left="100"/>
      <w:outlineLvl w:val="2"/>
    </w:pPr>
    <w:rPr>
      <w:rFonts w:ascii="Arial" w:hAnsi="Arial" w:eastAsia="Arial" w:cs="Arial"/>
      <w:b/>
      <w:bCs/>
      <w:sz w:val="20"/>
      <w:szCs w:val="20"/>
    </w:rPr>
  </w:style>
  <w:style w:type="character" w:default="1" w:styleId="5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rPr>
      <w:sz w:val="18"/>
      <w:szCs w:val="18"/>
    </w:rPr>
  </w:style>
  <w:style w:type="character" w:styleId="6">
    <w:name w:val="Hyperlink"/>
    <w:basedOn w:val="5"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gt-baf-base-sep"/>
    <w:basedOn w:val="5"/>
    <w:qFormat/>
    <w:uiPriority w:val="0"/>
  </w:style>
  <w:style w:type="character" w:customStyle="1" w:styleId="9">
    <w:name w:val="gt-baf-pos"/>
    <w:basedOn w:val="5"/>
    <w:qFormat/>
    <w:uiPriority w:val="0"/>
    <w:rPr>
      <w:color w:val="777777"/>
      <w:sz w:val="13"/>
      <w:szCs w:val="13"/>
    </w:rPr>
  </w:style>
  <w:style w:type="character" w:customStyle="1" w:styleId="10">
    <w:name w:val="focus"/>
    <w:basedOn w:val="5"/>
    <w:qFormat/>
    <w:uiPriority w:val="0"/>
  </w:style>
  <w:style w:type="paragraph" w:customStyle="1" w:styleId="11">
    <w:name w:val="_Style 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">
    <w:name w:val="_Style 1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2017-05-09T10:13:00Z</dcterms:created>
  <dc:creator>apple123</dc:creator>
  <cp:lastModifiedBy>apple123</cp:lastModifiedBy>
  <dcterms:modified xsi:type="dcterms:W3CDTF">2017-05-14T14:39:14Z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