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68BA60" w14:textId="77777777" w:rsidR="003D72D0" w:rsidRPr="003D72D0" w:rsidRDefault="003D72D0" w:rsidP="003D72D0">
      <w:pPr>
        <w:autoSpaceDE w:val="0"/>
        <w:autoSpaceDN w:val="0"/>
        <w:adjustRightInd w:val="0"/>
        <w:spacing w:after="240" w:line="400" w:lineRule="atLeast"/>
        <w:jc w:val="center"/>
        <w:rPr>
          <w:rFonts w:asciiTheme="minorBidi" w:hAnsiTheme="minorBidi" w:cstheme="minorBidi"/>
          <w:b/>
          <w:bCs/>
          <w:color w:val="000000"/>
          <w:sz w:val="32"/>
          <w:szCs w:val="32"/>
        </w:rPr>
      </w:pPr>
      <w:r w:rsidRPr="003D72D0">
        <w:rPr>
          <w:rFonts w:asciiTheme="minorBidi" w:hAnsiTheme="minorBidi" w:cstheme="minorBidi"/>
          <w:b/>
          <w:bCs/>
          <w:color w:val="548DD4" w:themeColor="text2" w:themeTint="99"/>
          <w:sz w:val="32"/>
          <w:szCs w:val="32"/>
        </w:rPr>
        <w:t xml:space="preserve">Inducing the Immune Responses by tow Novel Plasmodium vivax </w:t>
      </w:r>
      <w:proofErr w:type="spellStart"/>
      <w:r w:rsidRPr="003D72D0">
        <w:rPr>
          <w:rFonts w:asciiTheme="minorBidi" w:hAnsiTheme="minorBidi" w:cstheme="minorBidi"/>
          <w:b/>
          <w:bCs/>
          <w:color w:val="548DD4" w:themeColor="text2" w:themeTint="99"/>
          <w:sz w:val="32"/>
          <w:szCs w:val="32"/>
        </w:rPr>
        <w:t>Circumsporozoite</w:t>
      </w:r>
      <w:proofErr w:type="spellEnd"/>
      <w:r w:rsidRPr="003D72D0">
        <w:rPr>
          <w:rFonts w:asciiTheme="minorBidi" w:hAnsiTheme="minorBidi" w:cstheme="minorBidi"/>
          <w:b/>
          <w:bCs/>
          <w:color w:val="548DD4" w:themeColor="text2" w:themeTint="99"/>
          <w:sz w:val="32"/>
          <w:szCs w:val="32"/>
        </w:rPr>
        <w:t xml:space="preserve"> Based Vaccine Candidates Formulated in a New Adjuvant System in C57BL/6 Mice</w:t>
      </w:r>
    </w:p>
    <w:p w14:paraId="13C2E92B" w14:textId="77777777" w:rsidR="003D72D0" w:rsidRPr="004811B9" w:rsidRDefault="003D72D0" w:rsidP="003D72D0">
      <w:pPr>
        <w:rPr>
          <w:rFonts w:asciiTheme="minorBidi" w:hAnsiTheme="minorBidi" w:cstheme="minorBidi"/>
          <w:sz w:val="18"/>
          <w:szCs w:val="18"/>
          <w:vertAlign w:val="superscript"/>
        </w:rPr>
      </w:pPr>
      <w:proofErr w:type="spellStart"/>
      <w:r w:rsidRPr="00645027">
        <w:rPr>
          <w:rFonts w:asciiTheme="minorBidi" w:hAnsiTheme="minorBidi" w:cstheme="minorBidi"/>
          <w:b/>
          <w:bCs/>
          <w:sz w:val="18"/>
          <w:szCs w:val="18"/>
          <w:u w:val="single"/>
        </w:rPr>
        <w:t>Samaneh</w:t>
      </w:r>
      <w:proofErr w:type="spellEnd"/>
      <w:r w:rsidRPr="00645027">
        <w:rPr>
          <w:rFonts w:asciiTheme="minorBidi" w:hAnsiTheme="minorBidi" w:cstheme="minorBidi"/>
          <w:b/>
          <w:bCs/>
          <w:sz w:val="18"/>
          <w:szCs w:val="18"/>
          <w:u w:val="single"/>
        </w:rPr>
        <w:t xml:space="preserve"> H. Shabani</w:t>
      </w:r>
      <w:r>
        <w:rPr>
          <w:rFonts w:asciiTheme="minorBidi" w:hAnsiTheme="minorBidi" w:cstheme="minorBidi"/>
          <w:b/>
          <w:bCs/>
          <w:sz w:val="18"/>
          <w:szCs w:val="18"/>
          <w:u w:val="single"/>
          <w:vertAlign w:val="superscript"/>
        </w:rPr>
        <w:t>1,2</w:t>
      </w:r>
      <w:r w:rsidRPr="00645027">
        <w:rPr>
          <w:rFonts w:asciiTheme="minorBidi" w:hAnsiTheme="minorBidi" w:cstheme="minorBidi"/>
          <w:sz w:val="18"/>
          <w:szCs w:val="18"/>
        </w:rPr>
        <w:t xml:space="preserve">, </w:t>
      </w:r>
      <w:proofErr w:type="spellStart"/>
      <w:r w:rsidRPr="00645027">
        <w:rPr>
          <w:rFonts w:asciiTheme="minorBidi" w:hAnsiTheme="minorBidi" w:cstheme="minorBidi"/>
          <w:sz w:val="18"/>
          <w:szCs w:val="18"/>
        </w:rPr>
        <w:t>Sedigheh</w:t>
      </w:r>
      <w:proofErr w:type="spellEnd"/>
      <w:r w:rsidRPr="00645027">
        <w:rPr>
          <w:rFonts w:asciiTheme="minorBidi" w:hAnsiTheme="minorBidi" w:cstheme="minorBidi"/>
          <w:sz w:val="18"/>
          <w:szCs w:val="18"/>
        </w:rPr>
        <w:t xml:space="preserve"> Zakeri</w:t>
      </w:r>
      <w:r>
        <w:rPr>
          <w:rFonts w:asciiTheme="minorBidi" w:hAnsiTheme="minorBidi" w:cstheme="minorBidi"/>
          <w:sz w:val="18"/>
          <w:szCs w:val="18"/>
          <w:vertAlign w:val="superscript"/>
        </w:rPr>
        <w:t>1</w:t>
      </w:r>
      <w:r w:rsidRPr="00645027">
        <w:rPr>
          <w:rFonts w:asciiTheme="minorBidi" w:hAnsiTheme="minorBidi" w:cstheme="minorBidi"/>
          <w:sz w:val="18"/>
          <w:szCs w:val="18"/>
          <w:vertAlign w:val="superscript"/>
        </w:rPr>
        <w:t>*</w:t>
      </w:r>
      <w:r w:rsidRPr="00645027">
        <w:rPr>
          <w:rFonts w:asciiTheme="minorBidi" w:hAnsiTheme="minorBidi" w:cstheme="minorBidi"/>
          <w:sz w:val="18"/>
          <w:szCs w:val="18"/>
        </w:rPr>
        <w:t>, Ali H. Salmanian</w:t>
      </w:r>
      <w:r>
        <w:rPr>
          <w:rFonts w:asciiTheme="minorBidi" w:hAnsiTheme="minorBidi" w:cstheme="minorBidi"/>
          <w:sz w:val="18"/>
          <w:szCs w:val="18"/>
          <w:vertAlign w:val="superscript"/>
        </w:rPr>
        <w:t>3</w:t>
      </w:r>
      <w:r w:rsidRPr="00645027">
        <w:rPr>
          <w:rFonts w:asciiTheme="minorBidi" w:hAnsiTheme="minorBidi" w:cstheme="minorBidi"/>
          <w:sz w:val="18"/>
          <w:szCs w:val="18"/>
        </w:rPr>
        <w:t xml:space="preserve">, </w:t>
      </w:r>
      <w:proofErr w:type="spellStart"/>
      <w:r w:rsidRPr="00645027">
        <w:rPr>
          <w:rFonts w:asciiTheme="minorBidi" w:hAnsiTheme="minorBidi" w:cstheme="minorBidi"/>
          <w:sz w:val="18"/>
          <w:szCs w:val="18"/>
        </w:rPr>
        <w:t>Jafar</w:t>
      </w:r>
      <w:proofErr w:type="spellEnd"/>
      <w:r w:rsidRPr="00645027">
        <w:rPr>
          <w:rFonts w:asciiTheme="minorBidi" w:hAnsiTheme="minorBidi" w:cstheme="minorBidi"/>
          <w:sz w:val="18"/>
          <w:szCs w:val="18"/>
        </w:rPr>
        <w:t xml:space="preserve"> Amani</w:t>
      </w:r>
      <w:r>
        <w:rPr>
          <w:rFonts w:asciiTheme="minorBidi" w:hAnsiTheme="minorBidi" w:cstheme="minorBidi"/>
          <w:sz w:val="18"/>
          <w:szCs w:val="18"/>
          <w:vertAlign w:val="superscript"/>
        </w:rPr>
        <w:t>4</w:t>
      </w:r>
      <w:r w:rsidRPr="00645027">
        <w:rPr>
          <w:rFonts w:asciiTheme="minorBidi" w:hAnsiTheme="minorBidi" w:cstheme="minorBidi"/>
          <w:sz w:val="18"/>
          <w:szCs w:val="18"/>
        </w:rPr>
        <w:t xml:space="preserve">, </w:t>
      </w:r>
      <w:proofErr w:type="spellStart"/>
      <w:r w:rsidRPr="00645027">
        <w:rPr>
          <w:rFonts w:asciiTheme="minorBidi" w:hAnsiTheme="minorBidi" w:cstheme="minorBidi"/>
          <w:sz w:val="18"/>
          <w:szCs w:val="18"/>
        </w:rPr>
        <w:t>Akram</w:t>
      </w:r>
      <w:proofErr w:type="spellEnd"/>
      <w:r w:rsidRPr="00645027">
        <w:rPr>
          <w:rFonts w:asciiTheme="minorBidi" w:hAnsiTheme="minorBidi" w:cstheme="minorBidi"/>
          <w:sz w:val="18"/>
          <w:szCs w:val="18"/>
        </w:rPr>
        <w:t xml:space="preserve"> A. Mehrizi</w:t>
      </w:r>
      <w:r>
        <w:rPr>
          <w:rFonts w:asciiTheme="minorBidi" w:hAnsiTheme="minorBidi" w:cstheme="minorBidi"/>
          <w:sz w:val="18"/>
          <w:szCs w:val="18"/>
          <w:vertAlign w:val="superscript"/>
        </w:rPr>
        <w:t>1</w:t>
      </w:r>
      <w:r w:rsidRPr="00645027">
        <w:rPr>
          <w:rFonts w:asciiTheme="minorBidi" w:hAnsiTheme="minorBidi" w:cstheme="minorBidi"/>
          <w:sz w:val="18"/>
          <w:szCs w:val="18"/>
        </w:rPr>
        <w:t>, Georges Snounou</w:t>
      </w:r>
      <w:r>
        <w:rPr>
          <w:rFonts w:asciiTheme="minorBidi" w:hAnsiTheme="minorBidi" w:cstheme="minorBidi"/>
          <w:sz w:val="18"/>
          <w:szCs w:val="18"/>
          <w:vertAlign w:val="superscript"/>
        </w:rPr>
        <w:t>5</w:t>
      </w:r>
      <w:r w:rsidRPr="00645027">
        <w:rPr>
          <w:rFonts w:asciiTheme="minorBidi" w:hAnsiTheme="minorBidi" w:cstheme="minorBidi"/>
          <w:sz w:val="18"/>
          <w:szCs w:val="18"/>
        </w:rPr>
        <w:t>, Yousef Mortazavi</w:t>
      </w:r>
      <w:r>
        <w:rPr>
          <w:rFonts w:asciiTheme="minorBidi" w:hAnsiTheme="minorBidi" w:cstheme="minorBidi"/>
          <w:sz w:val="18"/>
          <w:szCs w:val="18"/>
          <w:vertAlign w:val="superscript"/>
        </w:rPr>
        <w:t>2</w:t>
      </w:r>
      <w:r w:rsidRPr="00645027">
        <w:rPr>
          <w:rFonts w:asciiTheme="minorBidi" w:hAnsiTheme="minorBidi" w:cstheme="minorBidi"/>
          <w:sz w:val="18"/>
          <w:szCs w:val="18"/>
        </w:rPr>
        <w:t>,</w:t>
      </w:r>
      <w:r w:rsidRPr="00645027">
        <w:rPr>
          <w:rFonts w:asciiTheme="minorBidi" w:hAnsiTheme="minorBidi" w:cstheme="minorBidi"/>
          <w:sz w:val="18"/>
          <w:szCs w:val="18"/>
          <w:vertAlign w:val="superscript"/>
        </w:rPr>
        <w:t xml:space="preserve"> </w:t>
      </w:r>
      <w:proofErr w:type="spellStart"/>
      <w:r w:rsidRPr="00645027">
        <w:rPr>
          <w:rFonts w:asciiTheme="minorBidi" w:hAnsiTheme="minorBidi" w:cstheme="minorBidi"/>
          <w:sz w:val="18"/>
          <w:szCs w:val="18"/>
        </w:rPr>
        <w:t>Navid</w:t>
      </w:r>
      <w:proofErr w:type="spellEnd"/>
      <w:r w:rsidRPr="00645027">
        <w:rPr>
          <w:rFonts w:asciiTheme="minorBidi" w:hAnsiTheme="minorBidi" w:cstheme="minorBidi"/>
          <w:sz w:val="18"/>
          <w:szCs w:val="18"/>
        </w:rPr>
        <w:t xml:space="preserve"> D. Djadid</w:t>
      </w:r>
      <w:r>
        <w:rPr>
          <w:rFonts w:asciiTheme="minorBidi" w:hAnsiTheme="minorBidi" w:cstheme="minorBidi"/>
          <w:sz w:val="18"/>
          <w:szCs w:val="18"/>
          <w:vertAlign w:val="superscript"/>
        </w:rPr>
        <w:t>1</w:t>
      </w:r>
    </w:p>
    <w:p w14:paraId="3777C680" w14:textId="77777777" w:rsidR="003D72D0" w:rsidRPr="000F520C" w:rsidRDefault="003D72D0" w:rsidP="003D72D0">
      <w:pPr>
        <w:rPr>
          <w:rFonts w:asciiTheme="minorBidi" w:eastAsia="Times New Roman" w:hAnsiTheme="minorBidi" w:cstheme="minorBidi"/>
          <w:sz w:val="24"/>
          <w:szCs w:val="24"/>
        </w:rPr>
      </w:pPr>
      <w:r w:rsidRPr="000F520C">
        <w:rPr>
          <w:rFonts w:asciiTheme="minorBidi" w:hAnsiTheme="minorBidi" w:cstheme="minorBidi"/>
          <w:sz w:val="18"/>
          <w:szCs w:val="21"/>
        </w:rPr>
        <w:t xml:space="preserve">1 Pasteur Institute, Iran, 2 </w:t>
      </w:r>
      <w:proofErr w:type="spellStart"/>
      <w:r w:rsidRPr="000F520C">
        <w:rPr>
          <w:rFonts w:asciiTheme="minorBidi" w:hAnsiTheme="minorBidi" w:cstheme="minorBidi"/>
          <w:sz w:val="18"/>
          <w:szCs w:val="21"/>
        </w:rPr>
        <w:t>Zanjan</w:t>
      </w:r>
      <w:proofErr w:type="spellEnd"/>
      <w:r w:rsidRPr="000F520C">
        <w:rPr>
          <w:rFonts w:asciiTheme="minorBidi" w:hAnsiTheme="minorBidi" w:cstheme="minorBidi"/>
          <w:sz w:val="18"/>
          <w:szCs w:val="21"/>
        </w:rPr>
        <w:t xml:space="preserve"> </w:t>
      </w:r>
      <w:r>
        <w:rPr>
          <w:rFonts w:asciiTheme="minorBidi" w:hAnsiTheme="minorBidi" w:cstheme="minorBidi"/>
          <w:sz w:val="18"/>
          <w:szCs w:val="21"/>
        </w:rPr>
        <w:t>University of M</w:t>
      </w:r>
      <w:r w:rsidRPr="000F520C">
        <w:rPr>
          <w:rFonts w:asciiTheme="minorBidi" w:hAnsiTheme="minorBidi" w:cstheme="minorBidi"/>
          <w:sz w:val="18"/>
          <w:szCs w:val="21"/>
        </w:rPr>
        <w:t xml:space="preserve">edical </w:t>
      </w:r>
      <w:r>
        <w:rPr>
          <w:rFonts w:asciiTheme="minorBidi" w:hAnsiTheme="minorBidi" w:cstheme="minorBidi"/>
          <w:sz w:val="18"/>
          <w:szCs w:val="21"/>
        </w:rPr>
        <w:t>S</w:t>
      </w:r>
      <w:r w:rsidRPr="000F520C">
        <w:rPr>
          <w:rFonts w:asciiTheme="minorBidi" w:hAnsiTheme="minorBidi" w:cstheme="minorBidi"/>
          <w:sz w:val="18"/>
          <w:szCs w:val="21"/>
        </w:rPr>
        <w:t xml:space="preserve">ciences, Iran, 3 </w:t>
      </w:r>
      <w:r w:rsidRPr="000F520C">
        <w:rPr>
          <w:rFonts w:asciiTheme="minorBidi" w:hAnsiTheme="minorBidi" w:cstheme="minorBidi"/>
          <w:sz w:val="18"/>
          <w:szCs w:val="21"/>
          <w:lang w:bidi="fa-IR"/>
        </w:rPr>
        <w:t xml:space="preserve">NIGEB, Iran, 4 </w:t>
      </w:r>
      <w:proofErr w:type="spellStart"/>
      <w:r w:rsidRPr="000F520C">
        <w:rPr>
          <w:rFonts w:asciiTheme="minorBidi" w:eastAsia="Times New Roman" w:hAnsiTheme="minorBidi" w:cstheme="minorBidi"/>
          <w:sz w:val="18"/>
          <w:szCs w:val="18"/>
          <w:shd w:val="clear" w:color="auto" w:fill="FFFFFF"/>
        </w:rPr>
        <w:t>Baqiyatallah</w:t>
      </w:r>
      <w:proofErr w:type="spellEnd"/>
      <w:r w:rsidRPr="000F520C">
        <w:rPr>
          <w:rFonts w:asciiTheme="minorBidi" w:eastAsia="Times New Roman" w:hAnsiTheme="minorBidi" w:cstheme="minorBidi"/>
          <w:sz w:val="18"/>
          <w:szCs w:val="18"/>
          <w:shd w:val="clear" w:color="auto" w:fill="FFFFFF"/>
        </w:rPr>
        <w:t xml:space="preserve"> University of Medical Sciences, Iran, 5 Pasteur institute, France</w:t>
      </w:r>
    </w:p>
    <w:p w14:paraId="0906F8F7" w14:textId="77777777" w:rsidR="00AE3E37" w:rsidRDefault="00AE3E37">
      <w:pPr>
        <w:pStyle w:val="BodyText"/>
        <w:rPr>
          <w:rFonts w:ascii="Arial"/>
          <w:sz w:val="20"/>
        </w:rPr>
      </w:pPr>
    </w:p>
    <w:p w14:paraId="6B89D4C0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1B3AC5C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4E7FA66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527DDEA4" w14:textId="77777777" w:rsidR="003D72D0" w:rsidRPr="0074597B" w:rsidRDefault="003D72D0" w:rsidP="003D72D0">
      <w:pPr>
        <w:jc w:val="both"/>
        <w:rPr>
          <w:rFonts w:eastAsia="Times New Roman" w:cs="Arial"/>
          <w:color w:val="333333"/>
          <w:sz w:val="18"/>
          <w:szCs w:val="18"/>
          <w:shd w:val="clear" w:color="auto" w:fill="FFFFFF"/>
        </w:rPr>
      </w:pPr>
      <w:r w:rsidRPr="0074597B">
        <w:rPr>
          <w:b/>
          <w:bCs/>
          <w:sz w:val="18"/>
          <w:szCs w:val="18"/>
        </w:rPr>
        <w:t xml:space="preserve">Statement of the Problem: </w:t>
      </w:r>
      <w:r w:rsidRPr="0074597B">
        <w:rPr>
          <w:rFonts w:cs="Times"/>
          <w:color w:val="000000"/>
          <w:sz w:val="18"/>
          <w:szCs w:val="18"/>
        </w:rPr>
        <w:t xml:space="preserve">The majority of malaria vaccine studies have mainly focused on </w:t>
      </w:r>
      <w:r w:rsidRPr="0074597B">
        <w:rPr>
          <w:rFonts w:cs="Times"/>
          <w:i/>
          <w:iCs/>
          <w:color w:val="000000"/>
          <w:sz w:val="18"/>
          <w:szCs w:val="18"/>
        </w:rPr>
        <w:t>Plasmodium falciparum</w:t>
      </w:r>
      <w:r w:rsidRPr="0074597B">
        <w:rPr>
          <w:rFonts w:cs="Times"/>
          <w:color w:val="000000"/>
          <w:sz w:val="18"/>
          <w:szCs w:val="18"/>
        </w:rPr>
        <w:t xml:space="preserve">, but </w:t>
      </w:r>
      <w:r w:rsidRPr="0074597B">
        <w:rPr>
          <w:rFonts w:cs="Times"/>
          <w:i/>
          <w:iCs/>
          <w:color w:val="000000"/>
          <w:sz w:val="18"/>
          <w:szCs w:val="18"/>
        </w:rPr>
        <w:t xml:space="preserve">Plasmodium vivax </w:t>
      </w:r>
      <w:r w:rsidRPr="0074597B">
        <w:rPr>
          <w:rFonts w:cs="Times"/>
          <w:color w:val="000000"/>
          <w:sz w:val="18"/>
          <w:szCs w:val="18"/>
        </w:rPr>
        <w:t xml:space="preserve">have been ignored. However, </w:t>
      </w:r>
      <w:r w:rsidRPr="0074597B">
        <w:rPr>
          <w:rFonts w:cs="Times"/>
          <w:i/>
          <w:iCs/>
          <w:color w:val="000000"/>
          <w:sz w:val="18"/>
          <w:szCs w:val="18"/>
        </w:rPr>
        <w:t xml:space="preserve">P. vivax </w:t>
      </w:r>
      <w:r w:rsidRPr="0074597B">
        <w:rPr>
          <w:rFonts w:cs="Times"/>
          <w:color w:val="000000"/>
          <w:sz w:val="18"/>
          <w:szCs w:val="18"/>
        </w:rPr>
        <w:t xml:space="preserve">is able to develop </w:t>
      </w:r>
      <w:proofErr w:type="spellStart"/>
      <w:r w:rsidRPr="0074597B">
        <w:rPr>
          <w:rFonts w:cs="Times"/>
          <w:color w:val="000000"/>
          <w:sz w:val="18"/>
          <w:szCs w:val="18"/>
        </w:rPr>
        <w:t>hypnozoites</w:t>
      </w:r>
      <w:proofErr w:type="spellEnd"/>
      <w:r w:rsidRPr="0074597B">
        <w:rPr>
          <w:rFonts w:cs="Times"/>
          <w:color w:val="000000"/>
          <w:sz w:val="18"/>
          <w:szCs w:val="18"/>
        </w:rPr>
        <w:t xml:space="preserve">, which increases the morbidity caused by a single infection and sever malaria. Additionally, a vaccine targeting of </w:t>
      </w:r>
      <w:r w:rsidRPr="0074597B">
        <w:rPr>
          <w:rFonts w:cs="Times"/>
          <w:i/>
          <w:iCs/>
          <w:color w:val="000000"/>
          <w:sz w:val="18"/>
          <w:szCs w:val="18"/>
        </w:rPr>
        <w:t>P. vivax</w:t>
      </w:r>
      <w:r w:rsidRPr="0074597B">
        <w:rPr>
          <w:rFonts w:cs="Times"/>
          <w:color w:val="000000"/>
          <w:sz w:val="18"/>
          <w:szCs w:val="18"/>
        </w:rPr>
        <w:t xml:space="preserve"> represents a necessary tool when considering the elimination/eradication goal. </w:t>
      </w:r>
      <w:r w:rsidRPr="0074597B">
        <w:rPr>
          <w:rFonts w:eastAsia="Times New Roman" w:cs="Arial"/>
          <w:color w:val="333333"/>
          <w:sz w:val="18"/>
          <w:szCs w:val="18"/>
          <w:shd w:val="clear" w:color="auto" w:fill="FFFFFF"/>
        </w:rPr>
        <w:t xml:space="preserve">Many efforts have been conducted to design a vaccine based on </w:t>
      </w:r>
      <w:proofErr w:type="spellStart"/>
      <w:r w:rsidRPr="0074597B">
        <w:rPr>
          <w:rFonts w:cs="Times"/>
          <w:color w:val="000000"/>
          <w:sz w:val="18"/>
          <w:szCs w:val="18"/>
        </w:rPr>
        <w:t>circumsporozoite</w:t>
      </w:r>
      <w:proofErr w:type="spellEnd"/>
      <w:r w:rsidRPr="0074597B">
        <w:rPr>
          <w:rFonts w:cs="Times"/>
          <w:color w:val="000000"/>
          <w:sz w:val="18"/>
          <w:szCs w:val="18"/>
        </w:rPr>
        <w:t xml:space="preserve"> </w:t>
      </w:r>
      <w:r w:rsidRPr="0074597B">
        <w:rPr>
          <w:rFonts w:eastAsia="Times New Roman" w:cs="Arial"/>
          <w:color w:val="333333"/>
          <w:sz w:val="18"/>
          <w:szCs w:val="18"/>
          <w:shd w:val="clear" w:color="auto" w:fill="FFFFFF"/>
        </w:rPr>
        <w:t xml:space="preserve">protein(CSP). Because of limited immunogenicity and less effectiveness of protein-based vaccines, this types of vaccines require adjuvant to induce a protective and long-lasting immune response. In this investigation, </w:t>
      </w:r>
      <w:r w:rsidRPr="0074597B">
        <w:rPr>
          <w:rFonts w:cs="Times"/>
          <w:color w:val="000000"/>
          <w:sz w:val="18"/>
          <w:szCs w:val="18"/>
        </w:rPr>
        <w:t xml:space="preserve">we evaluate the immunological potency of two newly designed </w:t>
      </w:r>
      <w:proofErr w:type="spellStart"/>
      <w:r w:rsidRPr="0074597B">
        <w:rPr>
          <w:rFonts w:cs="Times"/>
          <w:color w:val="000000"/>
          <w:sz w:val="18"/>
          <w:szCs w:val="18"/>
        </w:rPr>
        <w:t>PvCSP</w:t>
      </w:r>
      <w:proofErr w:type="spellEnd"/>
      <w:r w:rsidRPr="0074597B">
        <w:rPr>
          <w:rFonts w:cs="Times"/>
          <w:color w:val="000000"/>
          <w:sz w:val="18"/>
          <w:szCs w:val="18"/>
        </w:rPr>
        <w:t xml:space="preserve"> based vaccines in combination with a novel adjuvant system(AS). </w:t>
      </w:r>
      <w:r w:rsidRPr="0074597B">
        <w:rPr>
          <w:b/>
          <w:bCs/>
          <w:sz w:val="18"/>
          <w:szCs w:val="18"/>
        </w:rPr>
        <w:t xml:space="preserve">Methodology &amp; Theoretical Orientation: </w:t>
      </w:r>
      <w:r w:rsidRPr="0074597B">
        <w:rPr>
          <w:rFonts w:cs="Times"/>
          <w:color w:val="000000"/>
          <w:sz w:val="18"/>
          <w:szCs w:val="18"/>
        </w:rPr>
        <w:t xml:space="preserve">Both CS127 and CS712 constructs include N- and C-terminal parts and a truncated region containing repeat sequences with different arrangement from both PvCSVK210 and PvCSVK247 subtypes. After expression, purification, desalt and concentration, constructs were formulated with novel AS (NLX, </w:t>
      </w:r>
      <w:proofErr w:type="spellStart"/>
      <w:r w:rsidRPr="0074597B">
        <w:rPr>
          <w:rFonts w:cs="Times"/>
          <w:color w:val="000000"/>
          <w:sz w:val="18"/>
          <w:szCs w:val="18"/>
        </w:rPr>
        <w:t>CpG</w:t>
      </w:r>
      <w:proofErr w:type="spellEnd"/>
      <w:r w:rsidRPr="0074597B">
        <w:rPr>
          <w:rFonts w:cs="Times"/>
          <w:color w:val="000000"/>
          <w:sz w:val="18"/>
          <w:szCs w:val="18"/>
        </w:rPr>
        <w:t xml:space="preserve"> and QS21). 6-8 weeks female C57BL/6 mice were immunized with 3 boosts with </w:t>
      </w:r>
      <w:proofErr w:type="gramStart"/>
      <w:r w:rsidRPr="0074597B">
        <w:rPr>
          <w:rFonts w:cs="Times"/>
          <w:color w:val="000000"/>
          <w:sz w:val="18"/>
          <w:szCs w:val="18"/>
        </w:rPr>
        <w:t>2 week</w:t>
      </w:r>
      <w:proofErr w:type="gramEnd"/>
      <w:r w:rsidRPr="0074597B">
        <w:rPr>
          <w:rFonts w:cs="Times"/>
          <w:color w:val="000000"/>
          <w:sz w:val="18"/>
          <w:szCs w:val="18"/>
        </w:rPr>
        <w:t xml:space="preserve"> interval. Humoral responses include specific antibodies and subclasses against </w:t>
      </w:r>
      <w:proofErr w:type="spellStart"/>
      <w:r w:rsidRPr="0074597B">
        <w:rPr>
          <w:rFonts w:cs="Times"/>
          <w:color w:val="000000"/>
          <w:sz w:val="18"/>
          <w:szCs w:val="18"/>
        </w:rPr>
        <w:t>PvCSP</w:t>
      </w:r>
      <w:proofErr w:type="spellEnd"/>
      <w:r w:rsidRPr="0074597B">
        <w:rPr>
          <w:rFonts w:cs="Times"/>
          <w:color w:val="000000"/>
          <w:sz w:val="18"/>
          <w:szCs w:val="18"/>
        </w:rPr>
        <w:t xml:space="preserve">, titration and avidity of antibodies, and cellular responses includes </w:t>
      </w:r>
      <w:r w:rsidRPr="0074597B">
        <w:rPr>
          <w:rFonts w:cstheme="majorBidi"/>
          <w:sz w:val="18"/>
          <w:szCs w:val="18"/>
        </w:rPr>
        <w:t>lymphocyte proliferation assay and cytokine profiles</w:t>
      </w:r>
      <w:r w:rsidRPr="0074597B">
        <w:rPr>
          <w:rFonts w:cs="Times"/>
          <w:color w:val="000000"/>
          <w:sz w:val="18"/>
          <w:szCs w:val="18"/>
        </w:rPr>
        <w:t xml:space="preserve"> were evaluated with ELISA, MTT and cytokine assay, respectively. </w:t>
      </w:r>
      <w:r w:rsidRPr="0074597B">
        <w:rPr>
          <w:b/>
          <w:bCs/>
          <w:sz w:val="18"/>
          <w:szCs w:val="18"/>
        </w:rPr>
        <w:t xml:space="preserve">Findings: </w:t>
      </w:r>
      <w:r w:rsidRPr="0074597B">
        <w:rPr>
          <w:rFonts w:cs="Times"/>
          <w:color w:val="000000"/>
          <w:sz w:val="18"/>
          <w:szCs w:val="18"/>
        </w:rPr>
        <w:t xml:space="preserve">Our results show that both constructs are highly immunogenic in C57BL/6 mice. Both candidates in combination with AS induce high levels of antibody against </w:t>
      </w:r>
      <w:proofErr w:type="spellStart"/>
      <w:r w:rsidRPr="0074597B">
        <w:rPr>
          <w:rFonts w:cs="Times"/>
          <w:color w:val="000000"/>
          <w:sz w:val="18"/>
          <w:szCs w:val="18"/>
        </w:rPr>
        <w:t>PvCSP</w:t>
      </w:r>
      <w:proofErr w:type="spellEnd"/>
      <w:r w:rsidRPr="0074597B">
        <w:rPr>
          <w:rFonts w:cs="Times"/>
          <w:color w:val="000000"/>
          <w:sz w:val="18"/>
          <w:szCs w:val="18"/>
        </w:rPr>
        <w:t xml:space="preserve"> with high titration and avidity of Th1 related antibodies. Analysis of the induced T cells high-lighted different cytokine profile with significant secretion of IFN-</w:t>
      </w:r>
      <w:r w:rsidRPr="0074597B">
        <w:rPr>
          <w:rFonts w:cs="Times"/>
          <w:color w:val="000000"/>
          <w:sz w:val="18"/>
          <w:szCs w:val="18"/>
        </w:rPr>
        <w:sym w:font="Symbol" w:char="F067"/>
      </w:r>
      <w:r w:rsidRPr="0074597B">
        <w:rPr>
          <w:rFonts w:cs="Times"/>
          <w:color w:val="000000"/>
          <w:sz w:val="18"/>
          <w:szCs w:val="18"/>
        </w:rPr>
        <w:t xml:space="preserve"> and TH1 responses. </w:t>
      </w:r>
      <w:r w:rsidRPr="0074597B">
        <w:rPr>
          <w:b/>
          <w:bCs/>
          <w:sz w:val="18"/>
          <w:szCs w:val="18"/>
        </w:rPr>
        <w:t>Conclusion &amp; Significance:</w:t>
      </w:r>
      <w:r w:rsidRPr="0074597B">
        <w:rPr>
          <w:sz w:val="18"/>
          <w:szCs w:val="18"/>
        </w:rPr>
        <w:t xml:space="preserve"> </w:t>
      </w:r>
      <w:r w:rsidRPr="0074597B">
        <w:rPr>
          <w:rFonts w:cs="Times"/>
          <w:color w:val="000000"/>
          <w:sz w:val="18"/>
          <w:szCs w:val="18"/>
        </w:rPr>
        <w:t xml:space="preserve">These results need further clinical investigation of these two candidates in primate models to reach the added value in both immunogenicity and protective efficacy. </w:t>
      </w:r>
    </w:p>
    <w:p w14:paraId="41D30D46" w14:textId="77777777" w:rsidR="00AE3E37" w:rsidRDefault="00AE3E37">
      <w:pPr>
        <w:pStyle w:val="BodyText"/>
        <w:spacing w:before="90" w:line="280" w:lineRule="auto"/>
        <w:ind w:left="100"/>
        <w:jc w:val="both"/>
      </w:pPr>
    </w:p>
    <w:p w14:paraId="58B10C25" w14:textId="77777777" w:rsidR="00AE3E37" w:rsidRDefault="00A9710C" w:rsidP="003D72D0">
      <w:pPr>
        <w:pStyle w:val="Heading3"/>
        <w:spacing w:before="74"/>
      </w:pPr>
      <w:r>
        <w:rPr>
          <w:b w:val="0"/>
        </w:rPr>
        <w:br w:type="column"/>
      </w:r>
    </w:p>
    <w:p w14:paraId="1B2BDFDB" w14:textId="77777777" w:rsidR="003D72D0" w:rsidRDefault="003D72D0" w:rsidP="005973B9">
      <w:pPr>
        <w:spacing w:line="204" w:lineRule="exact"/>
        <w:rPr>
          <w:rFonts w:ascii="Arial"/>
          <w:b/>
          <w:sz w:val="16"/>
          <w:szCs w:val="18"/>
        </w:rPr>
      </w:pPr>
    </w:p>
    <w:p w14:paraId="7D37840F" w14:textId="232E347E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  <w:bookmarkStart w:id="0" w:name="_GoBack"/>
      <w:bookmarkEnd w:id="0"/>
    </w:p>
    <w:p w14:paraId="55D239CB" w14:textId="77777777" w:rsidR="003D72D0" w:rsidRPr="005C7D0F" w:rsidRDefault="003D72D0" w:rsidP="003D72D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389" w:hanging="288"/>
        <w:rPr>
          <w:rFonts w:asciiTheme="minorHAnsi" w:eastAsiaTheme="minorHAnsi" w:hAnsiTheme="minorHAnsi" w:cs="Times"/>
          <w:color w:val="000000"/>
          <w:sz w:val="18"/>
          <w:szCs w:val="18"/>
        </w:rPr>
      </w:pPr>
      <w:proofErr w:type="spellStart"/>
      <w:r w:rsidRPr="00A8037F">
        <w:rPr>
          <w:rFonts w:asciiTheme="minorHAnsi" w:eastAsiaTheme="minorHAnsi" w:hAnsiTheme="minorHAnsi" w:cs="Helvetica"/>
          <w:color w:val="000000"/>
          <w:sz w:val="18"/>
          <w:szCs w:val="18"/>
        </w:rPr>
        <w:t>Yadava</w:t>
      </w:r>
      <w:proofErr w:type="spellEnd"/>
      <w:r w:rsidRPr="00A8037F">
        <w:rPr>
          <w:rFonts w:asciiTheme="minorHAnsi" w:eastAsiaTheme="minorHAnsi" w:hAnsiTheme="minorHAnsi" w:cs="Helvetica"/>
          <w:color w:val="000000"/>
          <w:sz w:val="18"/>
          <w:szCs w:val="18"/>
        </w:rPr>
        <w:t xml:space="preserve"> A, Waters NC (2017) Rationale for Further Development of a Vaccine Based on the </w:t>
      </w:r>
      <w:proofErr w:type="spellStart"/>
      <w:r w:rsidRPr="00A8037F">
        <w:rPr>
          <w:rFonts w:asciiTheme="minorHAnsi" w:eastAsiaTheme="minorHAnsi" w:hAnsiTheme="minorHAnsi" w:cs="Helvetica"/>
          <w:color w:val="000000"/>
          <w:sz w:val="18"/>
          <w:szCs w:val="18"/>
        </w:rPr>
        <w:t>Circumsporozoite</w:t>
      </w:r>
      <w:proofErr w:type="spellEnd"/>
      <w:r w:rsidRPr="00A8037F">
        <w:rPr>
          <w:rFonts w:asciiTheme="minorHAnsi" w:eastAsiaTheme="minorHAnsi" w:hAnsiTheme="minorHAnsi" w:cs="Helvetica"/>
          <w:color w:val="000000"/>
          <w:sz w:val="18"/>
          <w:szCs w:val="18"/>
        </w:rPr>
        <w:t xml:space="preserve"> Protein of </w:t>
      </w:r>
      <w:r w:rsidRPr="00A8037F">
        <w:rPr>
          <w:rFonts w:asciiTheme="minorHAnsi" w:eastAsiaTheme="minorHAnsi" w:hAnsiTheme="minorHAnsi" w:cs="Times"/>
          <w:color w:val="000000"/>
          <w:sz w:val="18"/>
          <w:szCs w:val="18"/>
        </w:rPr>
        <w:t xml:space="preserve">Plasmodium </w:t>
      </w:r>
      <w:r w:rsidRPr="005C7D0F">
        <w:rPr>
          <w:rFonts w:asciiTheme="minorHAnsi" w:eastAsiaTheme="minorHAnsi" w:hAnsiTheme="minorHAnsi" w:cs="Times"/>
          <w:color w:val="000000"/>
          <w:sz w:val="18"/>
          <w:szCs w:val="18"/>
        </w:rPr>
        <w:t>vivax</w:t>
      </w:r>
      <w:r w:rsidRPr="005C7D0F">
        <w:rPr>
          <w:rFonts w:asciiTheme="minorHAnsi" w:eastAsiaTheme="minorHAnsi" w:hAnsiTheme="minorHAnsi" w:cs="Helvetica"/>
          <w:color w:val="000000"/>
          <w:sz w:val="18"/>
          <w:szCs w:val="18"/>
        </w:rPr>
        <w:t xml:space="preserve">. </w:t>
      </w:r>
      <w:proofErr w:type="spellStart"/>
      <w:r w:rsidRPr="005C7D0F">
        <w:rPr>
          <w:rFonts w:asciiTheme="minorHAnsi" w:eastAsiaTheme="minorHAnsi" w:hAnsiTheme="minorHAnsi" w:cs="Helvetica"/>
          <w:color w:val="000000"/>
          <w:sz w:val="18"/>
          <w:szCs w:val="18"/>
        </w:rPr>
        <w:t>PLoSNegl</w:t>
      </w:r>
      <w:proofErr w:type="spellEnd"/>
      <w:r w:rsidRPr="005C7D0F">
        <w:rPr>
          <w:rFonts w:asciiTheme="minorHAnsi" w:eastAsiaTheme="minorHAnsi" w:hAnsiTheme="minorHAnsi" w:cs="Helvetica"/>
          <w:color w:val="000000"/>
          <w:sz w:val="18"/>
          <w:szCs w:val="18"/>
        </w:rPr>
        <w:t xml:space="preserve"> Trop Dis 11(1). </w:t>
      </w:r>
    </w:p>
    <w:p w14:paraId="7D0014CE" w14:textId="77777777" w:rsidR="003D72D0" w:rsidRDefault="00F85672" w:rsidP="003D72D0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ind w:left="389" w:hanging="288"/>
        <w:rPr>
          <w:rFonts w:asciiTheme="minorHAnsi" w:hAnsiTheme="minorHAnsi" w:cs="Times New Roman"/>
          <w:sz w:val="18"/>
          <w:szCs w:val="18"/>
        </w:rPr>
      </w:pPr>
      <w:hyperlink r:id="rId9" w:history="1">
        <w:proofErr w:type="spellStart"/>
        <w:r w:rsidR="003D72D0" w:rsidRPr="005C7D0F">
          <w:rPr>
            <w:rStyle w:val="highlight"/>
            <w:rFonts w:asciiTheme="minorHAnsi" w:hAnsiTheme="minorHAnsi" w:cs="Times New Roman"/>
            <w:sz w:val="18"/>
            <w:szCs w:val="18"/>
          </w:rPr>
          <w:t>Shabani</w:t>
        </w:r>
        <w:proofErr w:type="spellEnd"/>
        <w:r w:rsidR="003D72D0" w:rsidRPr="005C7D0F">
          <w:rPr>
            <w:rStyle w:val="apple-converted-space"/>
            <w:rFonts w:asciiTheme="minorHAnsi" w:hAnsiTheme="minorHAnsi"/>
            <w:sz w:val="18"/>
            <w:szCs w:val="18"/>
          </w:rPr>
          <w:t> </w:t>
        </w:r>
        <w:r w:rsidR="003D72D0" w:rsidRPr="005C7D0F">
          <w:rPr>
            <w:rStyle w:val="Hyperlink"/>
            <w:rFonts w:asciiTheme="minorHAnsi" w:hAnsiTheme="minorHAnsi"/>
            <w:color w:val="auto"/>
            <w:sz w:val="18"/>
            <w:szCs w:val="18"/>
            <w:u w:val="none"/>
          </w:rPr>
          <w:t>SH</w:t>
        </w:r>
      </w:hyperlink>
      <w:r w:rsidR="003D72D0" w:rsidRPr="005C7D0F">
        <w:rPr>
          <w:rFonts w:asciiTheme="minorHAnsi" w:hAnsiTheme="minorHAnsi" w:cs="Times New Roman"/>
          <w:sz w:val="18"/>
          <w:szCs w:val="18"/>
        </w:rPr>
        <w:t>,</w:t>
      </w:r>
      <w:r w:rsidR="003D72D0" w:rsidRPr="005C7D0F">
        <w:rPr>
          <w:rStyle w:val="apple-converted-space"/>
          <w:rFonts w:asciiTheme="minorHAnsi" w:hAnsiTheme="minorHAnsi"/>
          <w:sz w:val="18"/>
          <w:szCs w:val="18"/>
        </w:rPr>
        <w:t> </w:t>
      </w:r>
      <w:hyperlink r:id="rId10" w:history="1">
        <w:proofErr w:type="spellStart"/>
        <w:r w:rsidR="003D72D0" w:rsidRPr="005C7D0F">
          <w:rPr>
            <w:rStyle w:val="highlight"/>
            <w:rFonts w:asciiTheme="minorHAnsi" w:hAnsiTheme="minorHAnsi" w:cs="Times New Roman"/>
            <w:sz w:val="18"/>
            <w:szCs w:val="18"/>
          </w:rPr>
          <w:t>Zakeri</w:t>
        </w:r>
        <w:proofErr w:type="spellEnd"/>
        <w:r w:rsidR="003D72D0" w:rsidRPr="005C7D0F">
          <w:rPr>
            <w:rStyle w:val="apple-converted-space"/>
            <w:rFonts w:asciiTheme="minorHAnsi" w:hAnsiTheme="minorHAnsi"/>
            <w:sz w:val="18"/>
            <w:szCs w:val="18"/>
          </w:rPr>
          <w:t> </w:t>
        </w:r>
        <w:r w:rsidR="003D72D0" w:rsidRPr="005C7D0F">
          <w:rPr>
            <w:rStyle w:val="Hyperlink"/>
            <w:rFonts w:asciiTheme="minorHAnsi" w:hAnsiTheme="minorHAnsi"/>
            <w:color w:val="auto"/>
            <w:sz w:val="18"/>
            <w:szCs w:val="18"/>
            <w:u w:val="none"/>
          </w:rPr>
          <w:t>S</w:t>
        </w:r>
      </w:hyperlink>
      <w:r w:rsidR="003D72D0" w:rsidRPr="005C7D0F">
        <w:rPr>
          <w:rFonts w:asciiTheme="minorHAnsi" w:hAnsiTheme="minorHAnsi" w:cs="Times New Roman"/>
          <w:sz w:val="18"/>
          <w:szCs w:val="18"/>
        </w:rPr>
        <w:t>,</w:t>
      </w:r>
      <w:r w:rsidR="003D72D0" w:rsidRPr="005C7D0F">
        <w:rPr>
          <w:rStyle w:val="apple-converted-space"/>
          <w:rFonts w:asciiTheme="minorHAnsi" w:hAnsiTheme="minorHAnsi"/>
          <w:sz w:val="18"/>
          <w:szCs w:val="18"/>
        </w:rPr>
        <w:t> </w:t>
      </w:r>
      <w:hyperlink r:id="rId11" w:history="1">
        <w:proofErr w:type="spellStart"/>
        <w:r w:rsidR="003D72D0" w:rsidRPr="005C7D0F">
          <w:rPr>
            <w:rStyle w:val="Hyperlink"/>
            <w:rFonts w:asciiTheme="minorHAnsi" w:hAnsiTheme="minorHAnsi"/>
            <w:color w:val="auto"/>
            <w:sz w:val="18"/>
            <w:szCs w:val="18"/>
            <w:u w:val="none"/>
          </w:rPr>
          <w:t>Mehrizi</w:t>
        </w:r>
        <w:proofErr w:type="spellEnd"/>
        <w:r w:rsidR="003D72D0" w:rsidRPr="005C7D0F">
          <w:rPr>
            <w:rStyle w:val="Hyperlink"/>
            <w:rFonts w:asciiTheme="minorHAnsi" w:hAnsiTheme="minorHAnsi"/>
            <w:color w:val="auto"/>
            <w:sz w:val="18"/>
            <w:szCs w:val="18"/>
            <w:u w:val="none"/>
          </w:rPr>
          <w:t xml:space="preserve"> AA</w:t>
        </w:r>
      </w:hyperlink>
      <w:r w:rsidR="003D72D0" w:rsidRPr="005C7D0F">
        <w:rPr>
          <w:rFonts w:asciiTheme="minorHAnsi" w:hAnsiTheme="minorHAnsi" w:cs="Times New Roman"/>
          <w:sz w:val="18"/>
          <w:szCs w:val="18"/>
        </w:rPr>
        <w:t>,</w:t>
      </w:r>
      <w:r w:rsidR="003D72D0" w:rsidRPr="005C7D0F">
        <w:rPr>
          <w:rStyle w:val="apple-converted-space"/>
          <w:rFonts w:asciiTheme="minorHAnsi" w:hAnsiTheme="minorHAnsi"/>
          <w:sz w:val="18"/>
          <w:szCs w:val="18"/>
        </w:rPr>
        <w:t> </w:t>
      </w:r>
      <w:hyperlink r:id="rId12" w:history="1">
        <w:proofErr w:type="spellStart"/>
        <w:r w:rsidR="003D72D0" w:rsidRPr="005C7D0F">
          <w:rPr>
            <w:rStyle w:val="Hyperlink"/>
            <w:rFonts w:asciiTheme="minorHAnsi" w:hAnsiTheme="minorHAnsi"/>
            <w:color w:val="auto"/>
            <w:sz w:val="18"/>
            <w:szCs w:val="18"/>
            <w:u w:val="none"/>
          </w:rPr>
          <w:t>Mortazavi</w:t>
        </w:r>
        <w:proofErr w:type="spellEnd"/>
        <w:r w:rsidR="003D72D0" w:rsidRPr="005C7D0F">
          <w:rPr>
            <w:rStyle w:val="Hyperlink"/>
            <w:rFonts w:asciiTheme="minorHAnsi" w:hAnsiTheme="minorHAnsi"/>
            <w:color w:val="auto"/>
            <w:sz w:val="18"/>
            <w:szCs w:val="18"/>
            <w:u w:val="none"/>
          </w:rPr>
          <w:t xml:space="preserve"> Y</w:t>
        </w:r>
      </w:hyperlink>
      <w:r w:rsidR="003D72D0" w:rsidRPr="005C7D0F">
        <w:rPr>
          <w:rFonts w:asciiTheme="minorHAnsi" w:hAnsiTheme="minorHAnsi" w:cs="Times New Roman"/>
          <w:sz w:val="18"/>
          <w:szCs w:val="18"/>
        </w:rPr>
        <w:t>,</w:t>
      </w:r>
      <w:r w:rsidR="003D72D0" w:rsidRPr="005C7D0F">
        <w:rPr>
          <w:rStyle w:val="apple-converted-space"/>
          <w:rFonts w:asciiTheme="minorHAnsi" w:hAnsiTheme="minorHAnsi"/>
          <w:sz w:val="18"/>
          <w:szCs w:val="18"/>
        </w:rPr>
        <w:t> </w:t>
      </w:r>
      <w:hyperlink r:id="rId13" w:history="1">
        <w:proofErr w:type="spellStart"/>
        <w:r w:rsidR="003D72D0" w:rsidRPr="005C7D0F">
          <w:rPr>
            <w:rStyle w:val="Hyperlink"/>
            <w:rFonts w:asciiTheme="minorHAnsi" w:hAnsiTheme="minorHAnsi"/>
            <w:color w:val="auto"/>
            <w:sz w:val="18"/>
            <w:szCs w:val="18"/>
            <w:u w:val="none"/>
          </w:rPr>
          <w:t>Djadid</w:t>
        </w:r>
        <w:proofErr w:type="spellEnd"/>
        <w:r w:rsidR="003D72D0" w:rsidRPr="005C7D0F">
          <w:rPr>
            <w:rStyle w:val="Hyperlink"/>
            <w:rFonts w:asciiTheme="minorHAnsi" w:hAnsiTheme="minorHAnsi"/>
            <w:color w:val="auto"/>
            <w:sz w:val="18"/>
            <w:szCs w:val="18"/>
            <w:u w:val="none"/>
          </w:rPr>
          <w:t xml:space="preserve"> ND</w:t>
        </w:r>
      </w:hyperlink>
      <w:r w:rsidR="003D72D0" w:rsidRPr="005C7D0F">
        <w:rPr>
          <w:rFonts w:asciiTheme="minorHAnsi" w:hAnsiTheme="minorHAnsi" w:cs="Times New Roman"/>
          <w:sz w:val="18"/>
          <w:szCs w:val="18"/>
        </w:rPr>
        <w:t xml:space="preserve"> (2016) Population genetics structure of </w:t>
      </w:r>
      <w:r w:rsidR="003D72D0" w:rsidRPr="005C7D0F">
        <w:rPr>
          <w:rFonts w:asciiTheme="minorHAnsi" w:hAnsiTheme="minorHAnsi" w:cs="Times New Roman"/>
          <w:i/>
          <w:iCs/>
          <w:sz w:val="18"/>
          <w:szCs w:val="18"/>
        </w:rPr>
        <w:t>Plasmodium vivax</w:t>
      </w:r>
      <w:r w:rsidR="003D72D0" w:rsidRPr="005C7D0F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3D72D0" w:rsidRPr="005C7D0F">
        <w:rPr>
          <w:rFonts w:asciiTheme="minorHAnsi" w:hAnsiTheme="minorHAnsi" w:cs="Times New Roman"/>
          <w:sz w:val="18"/>
          <w:szCs w:val="18"/>
        </w:rPr>
        <w:t>circumsporozoite</w:t>
      </w:r>
      <w:proofErr w:type="spellEnd"/>
      <w:r w:rsidR="003D72D0" w:rsidRPr="005C7D0F">
        <w:rPr>
          <w:rFonts w:asciiTheme="minorHAnsi" w:hAnsiTheme="minorHAnsi" w:cs="Times New Roman"/>
          <w:sz w:val="18"/>
          <w:szCs w:val="18"/>
        </w:rPr>
        <w:t xml:space="preserve"> protein during the elimination process in low and unstable</w:t>
      </w:r>
      <w:r w:rsidR="003D72D0" w:rsidRPr="005C7D0F">
        <w:rPr>
          <w:rStyle w:val="apple-converted-space"/>
          <w:rFonts w:asciiTheme="minorHAnsi" w:hAnsiTheme="minorHAnsi"/>
          <w:sz w:val="18"/>
          <w:szCs w:val="18"/>
        </w:rPr>
        <w:t> </w:t>
      </w:r>
      <w:r w:rsidR="003D72D0" w:rsidRPr="005C7D0F">
        <w:rPr>
          <w:rStyle w:val="highlight"/>
          <w:rFonts w:asciiTheme="minorHAnsi" w:hAnsiTheme="minorHAnsi" w:cs="Times New Roman"/>
          <w:sz w:val="18"/>
          <w:szCs w:val="18"/>
        </w:rPr>
        <w:t>malaria</w:t>
      </w:r>
      <w:r w:rsidR="003D72D0" w:rsidRPr="005C7D0F">
        <w:rPr>
          <w:rStyle w:val="apple-converted-space"/>
          <w:rFonts w:asciiTheme="minorHAnsi" w:hAnsiTheme="minorHAnsi"/>
          <w:sz w:val="18"/>
          <w:szCs w:val="18"/>
        </w:rPr>
        <w:t> </w:t>
      </w:r>
      <w:r w:rsidR="003D72D0" w:rsidRPr="005C7D0F">
        <w:rPr>
          <w:rFonts w:asciiTheme="minorHAnsi" w:hAnsiTheme="minorHAnsi" w:cs="Times New Roman"/>
          <w:sz w:val="18"/>
          <w:szCs w:val="18"/>
        </w:rPr>
        <w:t xml:space="preserve">transmission areas, southeast of Iran. </w:t>
      </w:r>
      <w:proofErr w:type="spellStart"/>
      <w:r w:rsidR="003D72D0" w:rsidRPr="005C7D0F">
        <w:rPr>
          <w:rFonts w:asciiTheme="minorHAnsi" w:hAnsiTheme="minorHAnsi"/>
          <w:sz w:val="18"/>
          <w:szCs w:val="18"/>
        </w:rPr>
        <w:t>Acta</w:t>
      </w:r>
      <w:proofErr w:type="spellEnd"/>
      <w:r w:rsidR="003D72D0" w:rsidRPr="005C7D0F">
        <w:rPr>
          <w:rFonts w:asciiTheme="minorHAnsi" w:hAnsiTheme="minorHAnsi"/>
          <w:sz w:val="18"/>
          <w:szCs w:val="18"/>
        </w:rPr>
        <w:t xml:space="preserve"> Trop</w:t>
      </w:r>
      <w:r w:rsidR="003D72D0" w:rsidRPr="005C7D0F">
        <w:rPr>
          <w:rFonts w:asciiTheme="minorHAnsi" w:hAnsiTheme="minorHAnsi" w:cs="Times New Roman"/>
          <w:sz w:val="18"/>
          <w:szCs w:val="18"/>
        </w:rPr>
        <w:t xml:space="preserve"> 160, 23-34.</w:t>
      </w:r>
    </w:p>
    <w:p w14:paraId="072B30E7" w14:textId="77777777" w:rsidR="003D72D0" w:rsidRPr="005C7D0F" w:rsidRDefault="003D72D0" w:rsidP="003D72D0">
      <w:pPr>
        <w:pStyle w:val="ListParagraph"/>
        <w:numPr>
          <w:ilvl w:val="0"/>
          <w:numId w:val="3"/>
        </w:numPr>
        <w:spacing w:line="240" w:lineRule="auto"/>
        <w:ind w:left="389" w:hanging="288"/>
        <w:rPr>
          <w:rFonts w:asciiTheme="minorHAnsi" w:hAnsiTheme="minorHAnsi" w:cs="Times New Roman"/>
          <w:sz w:val="18"/>
          <w:szCs w:val="18"/>
        </w:rPr>
      </w:pPr>
      <w:proofErr w:type="spellStart"/>
      <w:r>
        <w:rPr>
          <w:rFonts w:asciiTheme="minorHAnsi" w:hAnsiTheme="minorHAnsi" w:cs="Times New Roman"/>
          <w:sz w:val="18"/>
          <w:szCs w:val="18"/>
        </w:rPr>
        <w:t>Cespedes</w:t>
      </w:r>
      <w:proofErr w:type="spellEnd"/>
      <w:r>
        <w:rPr>
          <w:rFonts w:asciiTheme="minorHAnsi" w:hAnsiTheme="minorHAnsi" w:cs="Times New Roman"/>
          <w:sz w:val="18"/>
          <w:szCs w:val="18"/>
        </w:rPr>
        <w:t xml:space="preserve"> N, Jimenez E, Lopez-Perez M, </w:t>
      </w:r>
      <w:proofErr w:type="spellStart"/>
      <w:r>
        <w:rPr>
          <w:rFonts w:asciiTheme="minorHAnsi" w:hAnsiTheme="minorHAnsi" w:cs="Times New Roman"/>
          <w:sz w:val="18"/>
          <w:szCs w:val="18"/>
        </w:rPr>
        <w:t>Rubiano</w:t>
      </w:r>
      <w:proofErr w:type="spellEnd"/>
      <w:r>
        <w:rPr>
          <w:rFonts w:asciiTheme="minorHAnsi" w:hAnsiTheme="minorHAnsi" w:cs="Times New Roman"/>
          <w:sz w:val="18"/>
          <w:szCs w:val="18"/>
        </w:rPr>
        <w:t xml:space="preserve"> K, </w:t>
      </w:r>
      <w:proofErr w:type="spellStart"/>
      <w:r>
        <w:rPr>
          <w:rFonts w:asciiTheme="minorHAnsi" w:hAnsiTheme="minorHAnsi" w:cs="Times New Roman"/>
          <w:sz w:val="18"/>
          <w:szCs w:val="18"/>
        </w:rPr>
        <w:t>Felger</w:t>
      </w:r>
      <w:proofErr w:type="spellEnd"/>
      <w:r>
        <w:rPr>
          <w:rFonts w:asciiTheme="minorHAnsi" w:hAnsiTheme="minorHAnsi" w:cs="Times New Roman"/>
          <w:sz w:val="18"/>
          <w:szCs w:val="18"/>
        </w:rPr>
        <w:t xml:space="preserve"> I, Alonso P</w:t>
      </w:r>
      <w:r w:rsidRPr="005C7D0F">
        <w:rPr>
          <w:rFonts w:asciiTheme="minorHAnsi" w:hAnsiTheme="minorHAnsi" w:cs="Times New Roman"/>
          <w:sz w:val="18"/>
          <w:szCs w:val="18"/>
        </w:rPr>
        <w:t>, Arevalo-Her</w:t>
      </w:r>
      <w:r>
        <w:rPr>
          <w:rFonts w:asciiTheme="minorHAnsi" w:hAnsiTheme="minorHAnsi" w:cs="Times New Roman"/>
          <w:sz w:val="18"/>
          <w:szCs w:val="18"/>
        </w:rPr>
        <w:t xml:space="preserve">rera M, </w:t>
      </w:r>
      <w:proofErr w:type="spellStart"/>
      <w:r>
        <w:rPr>
          <w:rFonts w:asciiTheme="minorHAnsi" w:hAnsiTheme="minorHAnsi" w:cs="Times New Roman"/>
          <w:sz w:val="18"/>
          <w:szCs w:val="18"/>
        </w:rPr>
        <w:t>Corradin</w:t>
      </w:r>
      <w:proofErr w:type="spellEnd"/>
      <w:r>
        <w:rPr>
          <w:rFonts w:asciiTheme="minorHAnsi" w:hAnsiTheme="minorHAnsi" w:cs="Times New Roman"/>
          <w:sz w:val="18"/>
          <w:szCs w:val="18"/>
        </w:rPr>
        <w:t xml:space="preserve"> G, Herrera S</w:t>
      </w:r>
      <w:r w:rsidRPr="005C7D0F">
        <w:rPr>
          <w:rFonts w:asciiTheme="minorHAnsi" w:hAnsiTheme="minorHAnsi" w:cs="Times New Roman"/>
          <w:sz w:val="18"/>
          <w:szCs w:val="18"/>
        </w:rPr>
        <w:t xml:space="preserve"> </w:t>
      </w:r>
      <w:r>
        <w:rPr>
          <w:rFonts w:asciiTheme="minorHAnsi" w:hAnsiTheme="minorHAnsi" w:cs="Times New Roman"/>
          <w:sz w:val="18"/>
          <w:szCs w:val="18"/>
        </w:rPr>
        <w:t>(</w:t>
      </w:r>
      <w:r w:rsidRPr="005C7D0F">
        <w:rPr>
          <w:rFonts w:asciiTheme="minorHAnsi" w:hAnsiTheme="minorHAnsi" w:cs="Times New Roman"/>
          <w:sz w:val="18"/>
          <w:szCs w:val="18"/>
        </w:rPr>
        <w:t>2014</w:t>
      </w:r>
      <w:r>
        <w:rPr>
          <w:rFonts w:asciiTheme="minorHAnsi" w:hAnsiTheme="minorHAnsi" w:cs="Times New Roman"/>
          <w:sz w:val="18"/>
          <w:szCs w:val="18"/>
        </w:rPr>
        <w:t>)</w:t>
      </w:r>
      <w:r w:rsidRPr="005C7D0F">
        <w:rPr>
          <w:rFonts w:asciiTheme="minorHAnsi" w:hAnsiTheme="minorHAnsi" w:cs="Times New Roman"/>
          <w:sz w:val="18"/>
          <w:szCs w:val="18"/>
        </w:rPr>
        <w:t xml:space="preserve"> Antigenicity and immunogenicity of a novel </w:t>
      </w:r>
      <w:r w:rsidRPr="005C7D0F">
        <w:rPr>
          <w:rFonts w:asciiTheme="minorHAnsi" w:hAnsiTheme="minorHAnsi" w:cs="Times New Roman"/>
          <w:i/>
          <w:iCs/>
          <w:sz w:val="18"/>
          <w:szCs w:val="18"/>
        </w:rPr>
        <w:t xml:space="preserve">Plasmodium vivax </w:t>
      </w:r>
      <w:proofErr w:type="spellStart"/>
      <w:r w:rsidRPr="005C7D0F">
        <w:rPr>
          <w:rFonts w:asciiTheme="minorHAnsi" w:hAnsiTheme="minorHAnsi" w:cs="Times New Roman"/>
          <w:sz w:val="18"/>
          <w:szCs w:val="18"/>
        </w:rPr>
        <w:t>circumsporozoite</w:t>
      </w:r>
      <w:proofErr w:type="spellEnd"/>
      <w:r w:rsidRPr="005C7D0F">
        <w:rPr>
          <w:rFonts w:asciiTheme="minorHAnsi" w:hAnsiTheme="minorHAnsi" w:cs="Times New Roman"/>
          <w:sz w:val="18"/>
          <w:szCs w:val="18"/>
        </w:rPr>
        <w:t xml:space="preserve"> derived synthetic vaccine construct. Vaccine 32, 3179 –86.</w:t>
      </w:r>
    </w:p>
    <w:p w14:paraId="1EFFD062" w14:textId="77777777" w:rsidR="003D72D0" w:rsidRPr="00A8037F" w:rsidRDefault="003D72D0" w:rsidP="003D72D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389" w:hanging="288"/>
        <w:rPr>
          <w:rFonts w:asciiTheme="minorHAnsi" w:eastAsiaTheme="minorHAnsi" w:hAnsiTheme="minorHAnsi" w:cs="Times"/>
          <w:color w:val="000000"/>
          <w:sz w:val="18"/>
          <w:szCs w:val="18"/>
        </w:rPr>
      </w:pPr>
      <w:r w:rsidRPr="00A8037F">
        <w:rPr>
          <w:rFonts w:asciiTheme="minorHAnsi" w:hAnsiTheme="minorHAnsi" w:cstheme="majorBidi"/>
          <w:sz w:val="18"/>
          <w:szCs w:val="18"/>
        </w:rPr>
        <w:t>World Health Organization 2014. World malaria report 2014. World Health Organization, Geneva, Switzerland.</w:t>
      </w:r>
    </w:p>
    <w:p w14:paraId="56E9F77F" w14:textId="77777777" w:rsidR="003D72D0" w:rsidRPr="005C7D0F" w:rsidRDefault="003D72D0" w:rsidP="003D72D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389" w:hanging="288"/>
        <w:jc w:val="left"/>
        <w:rPr>
          <w:rFonts w:asciiTheme="minorHAnsi" w:eastAsiaTheme="minorHAnsi" w:hAnsiTheme="minorHAnsi" w:cs="Times"/>
          <w:color w:val="000000"/>
          <w:sz w:val="18"/>
          <w:szCs w:val="18"/>
        </w:rPr>
      </w:pPr>
      <w:proofErr w:type="spellStart"/>
      <w:r w:rsidRPr="00A8037F">
        <w:rPr>
          <w:rFonts w:asciiTheme="minorHAnsi" w:hAnsiTheme="minorHAnsi" w:cstheme="majorBidi"/>
          <w:sz w:val="18"/>
          <w:szCs w:val="18"/>
        </w:rPr>
        <w:t>Yadava</w:t>
      </w:r>
      <w:proofErr w:type="spellEnd"/>
      <w:r w:rsidRPr="00A8037F">
        <w:rPr>
          <w:rFonts w:asciiTheme="minorHAnsi" w:hAnsiTheme="minorHAnsi" w:cstheme="majorBidi"/>
          <w:sz w:val="18"/>
          <w:szCs w:val="18"/>
        </w:rPr>
        <w:t xml:space="preserve"> A, </w:t>
      </w:r>
      <w:proofErr w:type="spellStart"/>
      <w:r w:rsidRPr="00A8037F">
        <w:rPr>
          <w:rFonts w:asciiTheme="minorHAnsi" w:hAnsiTheme="minorHAnsi" w:cstheme="majorBidi"/>
          <w:sz w:val="18"/>
          <w:szCs w:val="18"/>
        </w:rPr>
        <w:t>Sattabongkot</w:t>
      </w:r>
      <w:proofErr w:type="spellEnd"/>
      <w:r w:rsidRPr="00A8037F">
        <w:rPr>
          <w:rFonts w:asciiTheme="minorHAnsi" w:hAnsiTheme="minorHAnsi" w:cstheme="majorBidi"/>
          <w:sz w:val="18"/>
          <w:szCs w:val="18"/>
        </w:rPr>
        <w:t xml:space="preserve"> J, Washington MA, Ware LA, </w:t>
      </w:r>
      <w:proofErr w:type="spellStart"/>
      <w:r w:rsidRPr="00A8037F">
        <w:rPr>
          <w:rFonts w:asciiTheme="minorHAnsi" w:hAnsiTheme="minorHAnsi" w:cstheme="majorBidi"/>
          <w:sz w:val="18"/>
          <w:szCs w:val="18"/>
        </w:rPr>
        <w:t>Majam</w:t>
      </w:r>
      <w:proofErr w:type="spellEnd"/>
      <w:r w:rsidRPr="00A8037F">
        <w:rPr>
          <w:rFonts w:asciiTheme="minorHAnsi" w:hAnsiTheme="minorHAnsi" w:cstheme="majorBidi"/>
          <w:sz w:val="18"/>
          <w:szCs w:val="18"/>
        </w:rPr>
        <w:t xml:space="preserve"> V, Zheng H, Kumar S, </w:t>
      </w:r>
      <w:proofErr w:type="spellStart"/>
      <w:r w:rsidRPr="00A8037F">
        <w:rPr>
          <w:rFonts w:asciiTheme="minorHAnsi" w:hAnsiTheme="minorHAnsi" w:cstheme="majorBidi"/>
          <w:sz w:val="18"/>
          <w:szCs w:val="18"/>
        </w:rPr>
        <w:t>Ockenhouse</w:t>
      </w:r>
      <w:proofErr w:type="spellEnd"/>
      <w:r w:rsidRPr="00A8037F">
        <w:rPr>
          <w:rFonts w:asciiTheme="minorHAnsi" w:hAnsiTheme="minorHAnsi" w:cstheme="majorBidi"/>
          <w:sz w:val="18"/>
          <w:szCs w:val="18"/>
        </w:rPr>
        <w:t xml:space="preserve"> CF (2007) A novel chimeric Plasmodium vivax </w:t>
      </w:r>
      <w:proofErr w:type="spellStart"/>
      <w:r w:rsidRPr="00A8037F">
        <w:rPr>
          <w:rFonts w:asciiTheme="minorHAnsi" w:hAnsiTheme="minorHAnsi" w:cstheme="majorBidi"/>
          <w:sz w:val="18"/>
          <w:szCs w:val="18"/>
        </w:rPr>
        <w:t>circumsporozoite</w:t>
      </w:r>
      <w:proofErr w:type="spellEnd"/>
      <w:r w:rsidRPr="00A8037F">
        <w:rPr>
          <w:rFonts w:asciiTheme="minorHAnsi" w:hAnsiTheme="minorHAnsi" w:cstheme="majorBidi"/>
          <w:sz w:val="18"/>
          <w:szCs w:val="18"/>
        </w:rPr>
        <w:t xml:space="preserve"> protein induces biologically functional antibodies that recognize both VK210 and VK247 </w:t>
      </w:r>
      <w:proofErr w:type="spellStart"/>
      <w:r w:rsidRPr="00A8037F">
        <w:rPr>
          <w:rFonts w:asciiTheme="minorHAnsi" w:hAnsiTheme="minorHAnsi" w:cstheme="majorBidi"/>
          <w:sz w:val="18"/>
          <w:szCs w:val="18"/>
        </w:rPr>
        <w:t>sporozoites</w:t>
      </w:r>
      <w:proofErr w:type="spellEnd"/>
      <w:r w:rsidRPr="00A8037F">
        <w:rPr>
          <w:rFonts w:asciiTheme="minorHAnsi" w:hAnsiTheme="minorHAnsi" w:cstheme="majorBidi"/>
          <w:sz w:val="18"/>
          <w:szCs w:val="18"/>
        </w:rPr>
        <w:t>. Infect Immun75:1177–1185.</w:t>
      </w:r>
    </w:p>
    <w:p w14:paraId="68C8B04E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6209320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AB916F4" w14:textId="77777777" w:rsidR="00AE3E37" w:rsidRDefault="00AE3E37">
      <w:pPr>
        <w:pStyle w:val="BodyText"/>
        <w:rPr>
          <w:rFonts w:ascii="Calibri"/>
          <w:sz w:val="20"/>
        </w:rPr>
      </w:pPr>
    </w:p>
    <w:p w14:paraId="09B270E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C7EB6EB" wp14:editId="343C3B6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DA0F9E0" w14:textId="77777777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14:paraId="439EB834" w14:textId="77777777" w:rsidR="003D72D0" w:rsidRPr="00C72C75" w:rsidRDefault="003D72D0" w:rsidP="003D72D0">
      <w:pPr>
        <w:pStyle w:val="BodyText"/>
        <w:rPr>
          <w:rFonts w:asciiTheme="minorBidi" w:eastAsia="Times New Roman" w:hAnsiTheme="minorBidi" w:cstheme="minorBidi"/>
          <w:sz w:val="14"/>
          <w:szCs w:val="14"/>
        </w:rPr>
      </w:pPr>
      <w:proofErr w:type="spellStart"/>
      <w:r w:rsidRPr="003D72D0">
        <w:t>Samaneh</w:t>
      </w:r>
      <w:proofErr w:type="spellEnd"/>
      <w:r w:rsidRPr="003D72D0">
        <w:t xml:space="preserve"> H. </w:t>
      </w:r>
      <w:proofErr w:type="spellStart"/>
      <w:r w:rsidRPr="003D72D0">
        <w:t>Shabani</w:t>
      </w:r>
      <w:proofErr w:type="spellEnd"/>
      <w:r w:rsidRPr="003D72D0">
        <w:t xml:space="preserve"> is a PhD student in medical biotechnology. In her PhD studies, she is investigating the potential of a chimeric recombinant protein of Plasmodium vivax as a malaria vaccine target in Malaria and Vector Research Group (MVRG), Biotechnology</w:t>
      </w:r>
      <w:r w:rsidRPr="00C72C75">
        <w:rPr>
          <w:rFonts w:asciiTheme="minorBidi" w:eastAsia="Times New Roman" w:hAnsiTheme="minorBidi" w:cstheme="minorBidi"/>
          <w:sz w:val="14"/>
          <w:szCs w:val="14"/>
        </w:rPr>
        <w:t xml:space="preserve"> Research Center of Pasture Institute of Iran under supervision of Prof. S. </w:t>
      </w:r>
      <w:proofErr w:type="spellStart"/>
      <w:r w:rsidRPr="00C72C75">
        <w:rPr>
          <w:rFonts w:asciiTheme="minorBidi" w:eastAsia="Times New Roman" w:hAnsiTheme="minorBidi" w:cstheme="minorBidi"/>
          <w:sz w:val="14"/>
          <w:szCs w:val="14"/>
        </w:rPr>
        <w:t>Zakeri</w:t>
      </w:r>
      <w:proofErr w:type="spellEnd"/>
      <w:r w:rsidRPr="00C72C75">
        <w:rPr>
          <w:rFonts w:asciiTheme="minorBidi" w:eastAsia="Times New Roman" w:hAnsiTheme="minorBidi" w:cstheme="minorBidi"/>
          <w:sz w:val="14"/>
          <w:szCs w:val="14"/>
        </w:rPr>
        <w:t>.</w:t>
      </w:r>
    </w:p>
    <w:p w14:paraId="3B0D74B7" w14:textId="77777777"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0E435172" w14:textId="77777777" w:rsidR="00AE3E37" w:rsidRDefault="00A9710C" w:rsidP="003D72D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3D72D0" w:rsidRPr="004918AD">
          <w:rPr>
            <w:rStyle w:val="Hyperlink"/>
            <w:rFonts w:ascii="Arial"/>
            <w:sz w:val="14"/>
          </w:rPr>
          <w:t>smnhemati@gmail.com</w:t>
        </w:r>
      </w:hyperlink>
      <w:r w:rsidR="003D72D0">
        <w:rPr>
          <w:rStyle w:val="Hyperlink"/>
          <w:rFonts w:ascii="Arial"/>
          <w:sz w:val="14"/>
        </w:rPr>
        <w:t>, zakeris@yahoo.com</w:t>
      </w:r>
    </w:p>
    <w:p w14:paraId="47984866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5C08736" wp14:editId="460FE87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81E3D8F" w14:textId="77777777" w:rsidR="00AE3E37" w:rsidRDefault="00AE3E37">
      <w:pPr>
        <w:pStyle w:val="BodyText"/>
        <w:rPr>
          <w:rFonts w:ascii="Arial"/>
          <w:sz w:val="20"/>
        </w:rPr>
      </w:pPr>
    </w:p>
    <w:p w14:paraId="7B2C5BE1" w14:textId="77777777" w:rsidR="00AE3E37" w:rsidRDefault="00AE3E37">
      <w:pPr>
        <w:pStyle w:val="BodyText"/>
        <w:rPr>
          <w:rFonts w:ascii="Arial"/>
          <w:sz w:val="20"/>
        </w:rPr>
      </w:pPr>
    </w:p>
    <w:p w14:paraId="6FCDCB22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4F6D60E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913446" w14:textId="77777777" w:rsidR="00F85672" w:rsidRDefault="00F85672">
      <w:r>
        <w:separator/>
      </w:r>
    </w:p>
  </w:endnote>
  <w:endnote w:type="continuationSeparator" w:id="0">
    <w:p w14:paraId="73F664DF" w14:textId="77777777" w:rsidR="00F85672" w:rsidRDefault="00F85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13F40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7F08748" wp14:editId="1182C9A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6A935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BA3B5F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F08748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586A935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BA3B5F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17F9044" wp14:editId="75CE77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C1BB7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34252C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7F9044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70C1BB7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34252C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CBE66C5" wp14:editId="7F79453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EB832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C1374E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BE66C5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6EEB832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C1374E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16422" w14:textId="77777777" w:rsidR="00F85672" w:rsidRDefault="00F85672">
      <w:r>
        <w:separator/>
      </w:r>
    </w:p>
  </w:footnote>
  <w:footnote w:type="continuationSeparator" w:id="0">
    <w:p w14:paraId="7967F39B" w14:textId="77777777" w:rsidR="00F85672" w:rsidRDefault="00F8567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63E62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D1EFACF" wp14:editId="1888B37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6245C5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1EFACF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6A6245C5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F589A2A" wp14:editId="151F2C3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FB71B0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A455E9B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589A2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55FB71B0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A455E9B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3D72D0"/>
    <w:rsid w:val="00404E5B"/>
    <w:rsid w:val="00414F7B"/>
    <w:rsid w:val="004355DC"/>
    <w:rsid w:val="004749B4"/>
    <w:rsid w:val="00494130"/>
    <w:rsid w:val="004F3523"/>
    <w:rsid w:val="004F4F1C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03D1"/>
    <w:rsid w:val="00D8509E"/>
    <w:rsid w:val="00DE3104"/>
    <w:rsid w:val="00F72EEA"/>
    <w:rsid w:val="00F84CAE"/>
    <w:rsid w:val="00F85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2C05C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rsid w:val="003D72D0"/>
    <w:rPr>
      <w:rFonts w:cs="Times New Roman"/>
    </w:rPr>
  </w:style>
  <w:style w:type="character" w:customStyle="1" w:styleId="highlight">
    <w:name w:val="highlight"/>
    <w:rsid w:val="003D72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ncbi.nlm.nih.gov/pubmed/?term=Mehrizi%20AA%5BAuthor%5D&amp;cauthor=true&amp;cauthor_uid=27102931" TargetMode="External"/><Relationship Id="rId12" Type="http://schemas.openxmlformats.org/officeDocument/2006/relationships/hyperlink" Target="https://www.ncbi.nlm.nih.gov/pubmed/?term=Mortazavi%20Y%5BAuthor%5D&amp;cauthor=true&amp;cauthor_uid=27102931" TargetMode="External"/><Relationship Id="rId13" Type="http://schemas.openxmlformats.org/officeDocument/2006/relationships/hyperlink" Target="https://www.ncbi.nlm.nih.gov/pubmed/?term=Djadid%20ND%5BAuthor%5D&amp;cauthor=true&amp;cauthor_uid=27102931" TargetMode="External"/><Relationship Id="rId14" Type="http://schemas.openxmlformats.org/officeDocument/2006/relationships/hyperlink" Target="mailto:smnhemati@gmail.com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yperlink" Target="https://www.ncbi.nlm.nih.gov/pubmed/?term=Shabani%20SH%5BAuthor%5D&amp;cauthor=true&amp;cauthor_uid=27102931" TargetMode="External"/><Relationship Id="rId10" Type="http://schemas.openxmlformats.org/officeDocument/2006/relationships/hyperlink" Target="https://www.ncbi.nlm.nih.gov/pubmed/?term=Zakeri%20S%5BAuthor%5D&amp;cauthor=true&amp;cauthor_uid=2710293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697</Words>
  <Characters>3974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3</cp:revision>
  <dcterms:created xsi:type="dcterms:W3CDTF">2017-04-22T13:42:00Z</dcterms:created>
  <dcterms:modified xsi:type="dcterms:W3CDTF">2017-04-22T13:46:00Z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