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1118" w:rsidRPr="00921118" w:rsidRDefault="00921118" w:rsidP="00921118">
      <w:pPr>
        <w:pStyle w:val="01-PSF-Paper-title"/>
        <w:jc w:val="center"/>
        <w:rPr>
          <w:rFonts w:asciiTheme="majorBidi" w:hAnsiTheme="majorBidi" w:cstheme="majorBidi"/>
        </w:rPr>
      </w:pPr>
      <w:r w:rsidRPr="00921118">
        <w:rPr>
          <w:rFonts w:asciiTheme="majorBidi" w:hAnsiTheme="majorBidi" w:cstheme="majorBidi"/>
        </w:rPr>
        <w:t>Prevalence of Heat-Tolerant Potentially Pathogenic Free-Living Amoebae from Different Sources of Water in Egypt</w:t>
      </w:r>
    </w:p>
    <w:p w:rsidR="00921118" w:rsidRPr="00921118" w:rsidRDefault="00921118" w:rsidP="00921118">
      <w:pPr>
        <w:pStyle w:val="02-PSF-Author"/>
        <w:jc w:val="both"/>
        <w:rPr>
          <w:rFonts w:asciiTheme="majorBidi" w:hAnsiTheme="majorBidi" w:cstheme="majorBidi"/>
        </w:rPr>
      </w:pPr>
      <w:r w:rsidRPr="00921118">
        <w:rPr>
          <w:rFonts w:asciiTheme="majorBidi" w:hAnsiTheme="majorBidi" w:cstheme="majorBidi"/>
        </w:rPr>
        <w:t>Wafaa M. Hikal</w:t>
      </w:r>
      <w:r w:rsidRPr="00921118">
        <w:rPr>
          <w:rFonts w:asciiTheme="majorBidi" w:hAnsiTheme="majorBidi" w:cstheme="majorBidi"/>
          <w:vertAlign w:val="superscript"/>
        </w:rPr>
        <w:t>1, 2, *</w:t>
      </w:r>
      <w:r w:rsidRPr="00921118">
        <w:rPr>
          <w:rFonts w:asciiTheme="majorBidi" w:hAnsiTheme="majorBidi" w:cstheme="majorBidi"/>
        </w:rPr>
        <w:t>, Ahmad Z. Al-Herrawy</w:t>
      </w:r>
      <w:r w:rsidRPr="00921118">
        <w:rPr>
          <w:rFonts w:asciiTheme="majorBidi" w:hAnsiTheme="majorBidi" w:cstheme="majorBidi"/>
          <w:vertAlign w:val="superscript"/>
        </w:rPr>
        <w:t>2</w:t>
      </w:r>
      <w:r w:rsidRPr="00921118">
        <w:rPr>
          <w:rFonts w:asciiTheme="majorBidi" w:hAnsiTheme="majorBidi" w:cstheme="majorBidi"/>
        </w:rPr>
        <w:t xml:space="preserve">, </w:t>
      </w:r>
      <w:proofErr w:type="spellStart"/>
      <w:r w:rsidRPr="00921118">
        <w:rPr>
          <w:rFonts w:asciiTheme="majorBidi" w:hAnsiTheme="majorBidi" w:cstheme="majorBidi"/>
        </w:rPr>
        <w:t>Mahmoud</w:t>
      </w:r>
      <w:proofErr w:type="spellEnd"/>
      <w:r w:rsidRPr="00921118">
        <w:rPr>
          <w:rFonts w:asciiTheme="majorBidi" w:hAnsiTheme="majorBidi" w:cstheme="majorBidi"/>
        </w:rPr>
        <w:t xml:space="preserve"> M. Bahgat</w:t>
      </w:r>
      <w:r w:rsidRPr="00921118">
        <w:rPr>
          <w:rFonts w:asciiTheme="majorBidi" w:hAnsiTheme="majorBidi" w:cstheme="majorBidi"/>
          <w:vertAlign w:val="superscript"/>
        </w:rPr>
        <w:t>3</w:t>
      </w:r>
      <w:r w:rsidRPr="00921118">
        <w:rPr>
          <w:rFonts w:asciiTheme="majorBidi" w:hAnsiTheme="majorBidi" w:cstheme="majorBidi"/>
        </w:rPr>
        <w:t>,</w:t>
      </w:r>
      <w:r>
        <w:rPr>
          <w:rFonts w:asciiTheme="majorBidi" w:eastAsiaTheme="minorEastAsia" w:hAnsiTheme="majorBidi" w:cstheme="majorBidi"/>
        </w:rPr>
        <w:t xml:space="preserve"> </w:t>
      </w:r>
      <w:proofErr w:type="spellStart"/>
      <w:r w:rsidRPr="00921118">
        <w:rPr>
          <w:rFonts w:asciiTheme="majorBidi" w:hAnsiTheme="majorBidi" w:cstheme="majorBidi"/>
        </w:rPr>
        <w:t>Abd</w:t>
      </w:r>
      <w:proofErr w:type="spellEnd"/>
      <w:r w:rsidRPr="00921118">
        <w:rPr>
          <w:rFonts w:asciiTheme="majorBidi" w:hAnsiTheme="majorBidi" w:cstheme="majorBidi"/>
        </w:rPr>
        <w:t>-</w:t>
      </w:r>
      <w:proofErr w:type="spellStart"/>
      <w:r w:rsidRPr="00921118">
        <w:rPr>
          <w:rFonts w:asciiTheme="majorBidi" w:hAnsiTheme="majorBidi" w:cstheme="majorBidi"/>
        </w:rPr>
        <w:t>Elhafez</w:t>
      </w:r>
      <w:proofErr w:type="spellEnd"/>
      <w:r w:rsidRPr="00921118">
        <w:rPr>
          <w:rFonts w:asciiTheme="majorBidi" w:hAnsiTheme="majorBidi" w:cstheme="majorBidi"/>
        </w:rPr>
        <w:t xml:space="preserve"> H. Mohammed</w:t>
      </w:r>
      <w:r w:rsidRPr="00921118">
        <w:rPr>
          <w:rFonts w:asciiTheme="majorBidi" w:hAnsiTheme="majorBidi" w:cstheme="majorBidi"/>
          <w:vertAlign w:val="superscript"/>
        </w:rPr>
        <w:t>4</w:t>
      </w:r>
      <w:r w:rsidRPr="00921118">
        <w:rPr>
          <w:rFonts w:asciiTheme="majorBidi" w:hAnsiTheme="majorBidi" w:cstheme="majorBidi"/>
        </w:rPr>
        <w:t xml:space="preserve">, </w:t>
      </w:r>
      <w:proofErr w:type="spellStart"/>
      <w:r w:rsidRPr="00921118">
        <w:rPr>
          <w:rFonts w:asciiTheme="majorBidi" w:hAnsiTheme="majorBidi" w:cstheme="majorBidi"/>
        </w:rPr>
        <w:t>Ameen</w:t>
      </w:r>
      <w:proofErr w:type="spellEnd"/>
      <w:r w:rsidRPr="00921118">
        <w:rPr>
          <w:rFonts w:asciiTheme="majorBidi" w:hAnsiTheme="majorBidi" w:cstheme="majorBidi"/>
        </w:rPr>
        <w:t xml:space="preserve"> A. Ashour</w:t>
      </w:r>
      <w:r w:rsidRPr="00921118">
        <w:rPr>
          <w:rFonts w:asciiTheme="majorBidi" w:hAnsiTheme="majorBidi" w:cstheme="majorBidi"/>
          <w:vertAlign w:val="superscript"/>
        </w:rPr>
        <w:t>4</w:t>
      </w:r>
    </w:p>
    <w:p w:rsidR="00921118" w:rsidRPr="00990FD0" w:rsidRDefault="00921118" w:rsidP="00921118">
      <w:pPr>
        <w:pStyle w:val="03-PSF-Affiliation"/>
        <w:rPr>
          <w:rFonts w:eastAsia="TimesNewRoman"/>
        </w:rPr>
      </w:pPr>
      <w:r w:rsidRPr="00DA7AC4">
        <w:rPr>
          <w:rFonts w:eastAsia="TimesNewRoman"/>
          <w:vertAlign w:val="superscript"/>
        </w:rPr>
        <w:t>1</w:t>
      </w:r>
      <w:r w:rsidRPr="00990FD0">
        <w:rPr>
          <w:rFonts w:eastAsia="TimesNewRoman"/>
        </w:rPr>
        <w:t>Department of Biology, Faculty of Science, University of Tabuk, Tabuk, Saudi Arabia</w:t>
      </w:r>
    </w:p>
    <w:p w:rsidR="00921118" w:rsidRPr="00990FD0" w:rsidRDefault="00921118" w:rsidP="00921118">
      <w:pPr>
        <w:pStyle w:val="03-PSF-Affiliation"/>
        <w:rPr>
          <w:rFonts w:eastAsia="TimesNewRoman"/>
        </w:rPr>
      </w:pPr>
      <w:r w:rsidRPr="00DA7AC4">
        <w:rPr>
          <w:rFonts w:eastAsia="TimesNewRoman"/>
          <w:vertAlign w:val="superscript"/>
        </w:rPr>
        <w:t>2</w:t>
      </w:r>
      <w:r w:rsidRPr="00990FD0">
        <w:rPr>
          <w:rFonts w:eastAsia="TimesNewRoman"/>
        </w:rPr>
        <w:t xml:space="preserve">Parasitology Lab., Water Pollution Research Department, National Research Centre, </w:t>
      </w:r>
      <w:proofErr w:type="spellStart"/>
      <w:r w:rsidRPr="00990FD0">
        <w:rPr>
          <w:rFonts w:eastAsia="TimesNewRoman"/>
        </w:rPr>
        <w:t>Dokki</w:t>
      </w:r>
      <w:proofErr w:type="spellEnd"/>
      <w:r w:rsidRPr="00990FD0">
        <w:rPr>
          <w:rFonts w:eastAsia="TimesNewRoman"/>
        </w:rPr>
        <w:t>, Giza, Egypt</w:t>
      </w:r>
    </w:p>
    <w:p w:rsidR="00921118" w:rsidRPr="00990FD0" w:rsidRDefault="00921118" w:rsidP="00921118">
      <w:pPr>
        <w:pStyle w:val="03-PSF-Affiliation"/>
        <w:rPr>
          <w:rFonts w:eastAsia="TimesNewRoman"/>
        </w:rPr>
      </w:pPr>
      <w:r w:rsidRPr="00DA7AC4">
        <w:rPr>
          <w:rFonts w:eastAsia="TimesNewRoman"/>
          <w:vertAlign w:val="superscript"/>
        </w:rPr>
        <w:t>3</w:t>
      </w:r>
      <w:r w:rsidRPr="00990FD0">
        <w:rPr>
          <w:rFonts w:eastAsia="TimesNewRoman"/>
        </w:rPr>
        <w:t xml:space="preserve">Therapeutic Chemistry Department, National Research Centre, </w:t>
      </w:r>
      <w:proofErr w:type="spellStart"/>
      <w:r w:rsidRPr="00990FD0">
        <w:rPr>
          <w:rFonts w:eastAsia="TimesNewRoman"/>
        </w:rPr>
        <w:t>Dokki</w:t>
      </w:r>
      <w:proofErr w:type="spellEnd"/>
      <w:r w:rsidRPr="00990FD0">
        <w:rPr>
          <w:rFonts w:eastAsia="TimesNewRoman"/>
        </w:rPr>
        <w:t>, Giza, Egypt</w:t>
      </w:r>
    </w:p>
    <w:p w:rsidR="00921118" w:rsidRPr="00990FD0" w:rsidRDefault="00921118" w:rsidP="00921118">
      <w:pPr>
        <w:pStyle w:val="03-PSF-Affiliation"/>
        <w:rPr>
          <w:rFonts w:eastAsia="TimesNewRoman"/>
        </w:rPr>
      </w:pPr>
      <w:r w:rsidRPr="00DA7AC4">
        <w:rPr>
          <w:rFonts w:eastAsia="TimesNewRoman"/>
          <w:vertAlign w:val="superscript"/>
        </w:rPr>
        <w:t>4</w:t>
      </w:r>
      <w:r w:rsidRPr="00990FD0">
        <w:rPr>
          <w:rFonts w:eastAsia="TimesNewRoman"/>
        </w:rPr>
        <w:t>Zoology Department, Faculty of Science, Ain Shams University, Cairo, Egypt</w:t>
      </w:r>
    </w:p>
    <w:p w:rsidR="00921118" w:rsidRPr="00990FD0" w:rsidRDefault="00921118" w:rsidP="00921118">
      <w:pPr>
        <w:pStyle w:val="04-PSF-Abstract"/>
      </w:pPr>
      <w:r w:rsidRPr="00990FD0">
        <w:t>Abstract</w:t>
      </w:r>
    </w:p>
    <w:p w:rsidR="00921118" w:rsidRPr="00990FD0" w:rsidRDefault="00921118" w:rsidP="00921118">
      <w:pPr>
        <w:pStyle w:val="05-PSF-Abstract-content"/>
        <w:rPr>
          <w:sz w:val="26"/>
          <w:szCs w:val="26"/>
        </w:rPr>
      </w:pPr>
      <w:r w:rsidRPr="00990FD0">
        <w:t xml:space="preserve">Free-living amoebae are ubiquitous in nature. Some species of free-living amoebae belonging to the genera </w:t>
      </w:r>
      <w:r w:rsidRPr="00990FD0">
        <w:rPr>
          <w:i/>
          <w:iCs/>
        </w:rPr>
        <w:t>Acanthamoeba</w:t>
      </w:r>
      <w:r w:rsidRPr="00990FD0">
        <w:t xml:space="preserve">, </w:t>
      </w:r>
      <w:r w:rsidRPr="00990FD0">
        <w:rPr>
          <w:i/>
          <w:iCs/>
        </w:rPr>
        <w:t>Naegleria</w:t>
      </w:r>
      <w:r w:rsidRPr="00990FD0">
        <w:t>, are responsible for opportunistic and non-opportunistic infections in humans and other animals.</w:t>
      </w:r>
      <w:r>
        <w:rPr>
          <w:i/>
          <w:iCs/>
        </w:rPr>
        <w:t xml:space="preserve"> </w:t>
      </w:r>
      <w:r w:rsidRPr="00990FD0">
        <w:rPr>
          <w:i/>
          <w:iCs/>
        </w:rPr>
        <w:t>Acanthamoeba</w:t>
      </w:r>
      <w:r>
        <w:t xml:space="preserve"> </w:t>
      </w:r>
      <w:r w:rsidRPr="00990FD0">
        <w:t xml:space="preserve">spp. have been recognized as etiologic agents of amoebic encephalitis, </w:t>
      </w:r>
      <w:proofErr w:type="spellStart"/>
      <w:r w:rsidRPr="00990FD0">
        <w:t>keratitis</w:t>
      </w:r>
      <w:proofErr w:type="spellEnd"/>
      <w:r w:rsidRPr="00990FD0">
        <w:t xml:space="preserve">, </w:t>
      </w:r>
      <w:proofErr w:type="spellStart"/>
      <w:r w:rsidRPr="00990FD0">
        <w:t>otitis</w:t>
      </w:r>
      <w:proofErr w:type="spellEnd"/>
      <w:r w:rsidRPr="00990FD0">
        <w:t xml:space="preserve">, lung lesions and other skin infections mainly in </w:t>
      </w:r>
      <w:proofErr w:type="spellStart"/>
      <w:r w:rsidRPr="00990FD0">
        <w:t>immuno</w:t>
      </w:r>
      <w:proofErr w:type="spellEnd"/>
      <w:r w:rsidRPr="00990FD0">
        <w:t xml:space="preserve">-compromised individuals. </w:t>
      </w:r>
      <w:r w:rsidRPr="00990FD0">
        <w:rPr>
          <w:i/>
          <w:iCs/>
        </w:rPr>
        <w:t>Naegleria</w:t>
      </w:r>
      <w:r>
        <w:rPr>
          <w:i/>
          <w:iCs/>
        </w:rPr>
        <w:t xml:space="preserve"> </w:t>
      </w:r>
      <w:proofErr w:type="spellStart"/>
      <w:r w:rsidRPr="00990FD0">
        <w:rPr>
          <w:i/>
          <w:iCs/>
        </w:rPr>
        <w:t>fowleri</w:t>
      </w:r>
      <w:proofErr w:type="spellEnd"/>
      <w:r>
        <w:rPr>
          <w:rFonts w:eastAsia="TimesNewRoman"/>
        </w:rPr>
        <w:t xml:space="preserve"> </w:t>
      </w:r>
      <w:r w:rsidRPr="00990FD0">
        <w:rPr>
          <w:rFonts w:eastAsia="TimesNewRoman"/>
        </w:rPr>
        <w:t>is the causative agent of primary amoebic meningo-encephalitis (PAM), a rapidly fatal disease of the central nervous system.</w:t>
      </w:r>
      <w:r w:rsidRPr="00990FD0">
        <w:t xml:space="preserve"> Identification of the isolated strains based on the morphology of cyst and trophozoite forms as well as temperature tolerant and</w:t>
      </w:r>
      <w:r w:rsidRPr="00990FD0">
        <w:rPr>
          <w:rFonts w:eastAsia="TimesNewRoman"/>
        </w:rPr>
        <w:t xml:space="preserve"> flagellation test.</w:t>
      </w:r>
      <w:r w:rsidRPr="00990FD0">
        <w:t xml:space="preserve"> Potentially pathogenic free-living amoebae were isolated from all of the examined water sources.</w:t>
      </w:r>
      <w:bookmarkStart w:id="0" w:name="_GoBack"/>
      <w:bookmarkEnd w:id="0"/>
      <w:r>
        <w:t xml:space="preserve"> </w:t>
      </w:r>
      <w:r w:rsidRPr="00990FD0">
        <w:t>In the present study, a total of 732 water samples were collected from the Nile water (n=252), tap water (n=360) and swimming pools (n=120) at different localities in the Nile Delta region, Egypt. It is concluded that the incidence and prevalence of the potentially pathogenic free-living amoebae in the aquatic environment using parasitological diagnostic tools will provide baseline data against which the risk factors associated with waterborne transmission can be identified.</w:t>
      </w:r>
    </w:p>
    <w:p w:rsidR="00921118" w:rsidRDefault="00921118" w:rsidP="00921118">
      <w:pPr>
        <w:pStyle w:val="06-PSF-Keywords"/>
      </w:pPr>
      <w:r>
        <w:t>Keywords</w:t>
      </w:r>
    </w:p>
    <w:p w:rsidR="00921118" w:rsidRPr="00DA7AC4" w:rsidRDefault="00921118" w:rsidP="00921118">
      <w:pPr>
        <w:pStyle w:val="07-PSF-Keywords-content"/>
        <w:rPr>
          <w:rFonts w:eastAsiaTheme="minorEastAsia"/>
        </w:rPr>
      </w:pPr>
      <w:r w:rsidRPr="00990FD0">
        <w:t xml:space="preserve">Free-Living Amoebae, Heat-Tolerance, Flagellation Test, </w:t>
      </w:r>
      <w:r>
        <w:t>Drinking Water Sources</w:t>
      </w:r>
    </w:p>
    <w:p w:rsidR="00A72A30" w:rsidRPr="00921118" w:rsidRDefault="00A72A30" w:rsidP="00921118">
      <w:pPr>
        <w:bidi w:val="0"/>
        <w:jc w:val="both"/>
        <w:rPr>
          <w:lang w:val="en-GB"/>
        </w:rPr>
      </w:pPr>
    </w:p>
    <w:sectPr w:rsidR="00A72A30" w:rsidRPr="00921118" w:rsidSect="00FA2D72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compat/>
  <w:rsids>
    <w:rsidRoot w:val="00921118"/>
    <w:rsid w:val="00921118"/>
    <w:rsid w:val="00A72A30"/>
    <w:rsid w:val="00F22C81"/>
    <w:rsid w:val="00FA2D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2A30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01-PSF-Paper-title">
    <w:name w:val="01-PSF-Paper-title"/>
    <w:basedOn w:val="a"/>
    <w:qFormat/>
    <w:rsid w:val="00921118"/>
    <w:pPr>
      <w:widowControl w:val="0"/>
      <w:bidi w:val="0"/>
      <w:adjustRightInd w:val="0"/>
      <w:snapToGrid w:val="0"/>
      <w:spacing w:before="360" w:after="280" w:line="400" w:lineRule="exact"/>
    </w:pPr>
    <w:rPr>
      <w:rFonts w:ascii="Verdana" w:eastAsia="Verdana" w:hAnsi="Verdana" w:cs="Times New Roman"/>
      <w:b/>
      <w:color w:val="365F91" w:themeColor="accent1" w:themeShade="BF"/>
      <w:kern w:val="2"/>
      <w:sz w:val="36"/>
      <w:lang w:val="en-GB" w:eastAsia="zh-CN"/>
    </w:rPr>
  </w:style>
  <w:style w:type="paragraph" w:customStyle="1" w:styleId="02-PSF-Author">
    <w:name w:val="02-PSF-Author"/>
    <w:basedOn w:val="a"/>
    <w:qFormat/>
    <w:rsid w:val="00921118"/>
    <w:pPr>
      <w:widowControl w:val="0"/>
      <w:bidi w:val="0"/>
      <w:adjustRightInd w:val="0"/>
      <w:snapToGrid w:val="0"/>
      <w:spacing w:before="240" w:after="240" w:line="240" w:lineRule="auto"/>
    </w:pPr>
    <w:rPr>
      <w:rFonts w:ascii="Verdana" w:eastAsia="Verdana" w:hAnsi="Verdana" w:cs="Times New Roman"/>
      <w:b/>
      <w:color w:val="365F91" w:themeColor="accent1" w:themeShade="BF"/>
      <w:kern w:val="2"/>
      <w:sz w:val="24"/>
      <w:lang w:val="en-GB" w:eastAsia="zh-CN"/>
    </w:rPr>
  </w:style>
  <w:style w:type="paragraph" w:customStyle="1" w:styleId="03-PSF-Affiliation">
    <w:name w:val="03-PSF-Affiliation"/>
    <w:basedOn w:val="a"/>
    <w:qFormat/>
    <w:rsid w:val="00921118"/>
    <w:pPr>
      <w:widowControl w:val="0"/>
      <w:bidi w:val="0"/>
      <w:adjustRightInd w:val="0"/>
      <w:snapToGrid w:val="0"/>
      <w:spacing w:after="0" w:line="240" w:lineRule="exact"/>
    </w:pPr>
    <w:rPr>
      <w:rFonts w:ascii="Times New Roman" w:eastAsia="Times New Roman" w:hAnsi="Times New Roman" w:cs="Times New Roman"/>
      <w:kern w:val="2"/>
      <w:sz w:val="17"/>
      <w:lang w:val="en-GB" w:eastAsia="zh-CN"/>
    </w:rPr>
  </w:style>
  <w:style w:type="paragraph" w:customStyle="1" w:styleId="04-PSF-Abstract">
    <w:name w:val="04-PSF-Abstract"/>
    <w:basedOn w:val="a"/>
    <w:qFormat/>
    <w:rsid w:val="00921118"/>
    <w:pPr>
      <w:widowControl w:val="0"/>
      <w:bidi w:val="0"/>
      <w:adjustRightInd w:val="0"/>
      <w:snapToGrid w:val="0"/>
      <w:spacing w:before="240" w:after="160" w:line="240" w:lineRule="auto"/>
    </w:pPr>
    <w:rPr>
      <w:rFonts w:ascii="Verdana" w:eastAsia="Verdana" w:hAnsi="Verdana" w:cs="Times New Roman"/>
      <w:b/>
      <w:color w:val="365F91" w:themeColor="accent1" w:themeShade="BF"/>
      <w:kern w:val="2"/>
      <w:sz w:val="20"/>
      <w:lang w:val="en-GB" w:eastAsia="zh-CN"/>
    </w:rPr>
  </w:style>
  <w:style w:type="paragraph" w:customStyle="1" w:styleId="05-PSF-Abstract-content">
    <w:name w:val="05-PSF-Abstract-content"/>
    <w:basedOn w:val="a"/>
    <w:qFormat/>
    <w:rsid w:val="00921118"/>
    <w:pPr>
      <w:widowControl w:val="0"/>
      <w:bidi w:val="0"/>
      <w:adjustRightInd w:val="0"/>
      <w:snapToGrid w:val="0"/>
      <w:spacing w:before="160" w:after="240"/>
      <w:jc w:val="both"/>
    </w:pPr>
    <w:rPr>
      <w:rFonts w:ascii="Times New Roman" w:eastAsia="Times New Roman" w:hAnsi="Times New Roman" w:cs="Times New Roman"/>
      <w:color w:val="000000" w:themeColor="text1"/>
      <w:kern w:val="2"/>
      <w:sz w:val="20"/>
      <w:lang w:val="en-GB" w:eastAsia="zh-CN"/>
    </w:rPr>
  </w:style>
  <w:style w:type="paragraph" w:customStyle="1" w:styleId="06-PSF-Keywords">
    <w:name w:val="06-PSF-Keywords"/>
    <w:basedOn w:val="a"/>
    <w:qFormat/>
    <w:rsid w:val="00921118"/>
    <w:pPr>
      <w:widowControl w:val="0"/>
      <w:bidi w:val="0"/>
      <w:adjustRightInd w:val="0"/>
      <w:snapToGrid w:val="0"/>
      <w:spacing w:before="240" w:after="160" w:line="240" w:lineRule="auto"/>
    </w:pPr>
    <w:rPr>
      <w:rFonts w:ascii="Verdana" w:eastAsia="Verdana" w:hAnsi="Verdana" w:cs="Times New Roman"/>
      <w:b/>
      <w:color w:val="365F91" w:themeColor="accent1" w:themeShade="BF"/>
      <w:kern w:val="2"/>
      <w:sz w:val="20"/>
      <w:lang w:val="en-GB" w:eastAsia="zh-CN"/>
    </w:rPr>
  </w:style>
  <w:style w:type="paragraph" w:customStyle="1" w:styleId="07-PSF-Keywords-content">
    <w:name w:val="07-PSF-Keywords-content"/>
    <w:basedOn w:val="a"/>
    <w:qFormat/>
    <w:rsid w:val="00921118"/>
    <w:pPr>
      <w:widowControl w:val="0"/>
      <w:bidi w:val="0"/>
      <w:adjustRightInd w:val="0"/>
      <w:snapToGrid w:val="0"/>
      <w:spacing w:before="160" w:after="160"/>
    </w:pPr>
    <w:rPr>
      <w:rFonts w:ascii="Times New Roman" w:eastAsia="Times New Roman" w:hAnsi="Times New Roman" w:cs="Times New Roman"/>
      <w:kern w:val="2"/>
      <w:sz w:val="20"/>
      <w:lang w:val="en-GB"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سمة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289</Words>
  <Characters>1651</Characters>
  <Application>Microsoft Office Word</Application>
  <DocSecurity>0</DocSecurity>
  <Lines>13</Lines>
  <Paragraphs>3</Paragraphs>
  <ScaleCrop>false</ScaleCrop>
  <Company/>
  <LinksUpToDate>false</LinksUpToDate>
  <CharactersWithSpaces>1937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VIP</dc:creator>
  <cp:lastModifiedBy>VIP</cp:lastModifiedBy>
  <cp:revision>1</cp:revision>
  <dcterms:created xsi:type="dcterms:W3CDTF">2017-06-02T12:33:00Z</dcterms:created>
  <dcterms:modified xsi:type="dcterms:W3CDTF">2017-06-02T12:36:00Z</dcterms:modified>
</cp:coreProperties>
</file>