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35568B" w:rsidP="00494130">
      <w:pPr>
        <w:pStyle w:val="Heading1"/>
        <w:spacing w:before="170"/>
        <w:ind w:left="0"/>
      </w:pPr>
      <w:r>
        <w:rPr>
          <w:color w:val="337AB7"/>
        </w:rPr>
        <w:t xml:space="preserve">Myxozoan parasitic infestation of </w:t>
      </w:r>
      <w:r w:rsidR="00D51D7B">
        <w:rPr>
          <w:color w:val="337AB7"/>
        </w:rPr>
        <w:t xml:space="preserve">aquaculture fishes in </w:t>
      </w:r>
      <w:r w:rsidR="00C708A5">
        <w:rPr>
          <w:color w:val="337AB7"/>
        </w:rPr>
        <w:t>Punjab (</w:t>
      </w:r>
      <w:r w:rsidR="00D51D7B">
        <w:rPr>
          <w:color w:val="337AB7"/>
        </w:rPr>
        <w:t>India)</w:t>
      </w:r>
    </w:p>
    <w:p w:rsidR="00AE3E37" w:rsidRDefault="00E23664" w:rsidP="00E23664">
      <w:pPr>
        <w:pStyle w:val="BodyText"/>
        <w:spacing w:before="73" w:line="198" w:lineRule="exact"/>
        <w:ind w:left="100" w:right="5987"/>
        <w:rPr>
          <w:rFonts w:ascii="Arial"/>
          <w:sz w:val="20"/>
        </w:rPr>
      </w:pPr>
      <w:r>
        <w:rPr>
          <w:rFonts w:ascii="Arial"/>
        </w:rPr>
        <w:t>Anu Katoch</w:t>
      </w:r>
      <w:r w:rsidR="005973B9">
        <w:rPr>
          <w:rFonts w:ascii="Arial"/>
        </w:rPr>
        <w:t xml:space="preserve"> Ph</w:t>
      </w:r>
      <w:r w:rsidR="00E82C73">
        <w:rPr>
          <w:rFonts w:ascii="Arial"/>
        </w:rPr>
        <w:t>.</w:t>
      </w:r>
      <w:r w:rsidR="005973B9">
        <w:rPr>
          <w:rFonts w:ascii="Arial"/>
        </w:rPr>
        <w:t xml:space="preserve">D, </w:t>
      </w:r>
      <w:r w:rsidR="00DF4912">
        <w:rPr>
          <w:rFonts w:ascii="Arial"/>
        </w:rPr>
        <w:t>Punjabi</w:t>
      </w:r>
      <w:r>
        <w:rPr>
          <w:rFonts w:ascii="Arial"/>
        </w:rPr>
        <w:t xml:space="preserve"> University Patiala</w:t>
      </w:r>
      <w:r w:rsidR="005973B9">
        <w:rPr>
          <w:rFonts w:ascii="Arial"/>
        </w:rPr>
        <w:t xml:space="preserve">, </w:t>
      </w:r>
      <w:r>
        <w:rPr>
          <w:rFonts w:ascii="Arial"/>
        </w:rPr>
        <w:t>Punjab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DF4912" w:rsidRDefault="00A9710C">
      <w:pPr>
        <w:pStyle w:val="Heading3"/>
        <w:spacing w:before="147"/>
        <w:jc w:val="both"/>
        <w:rPr>
          <w:color w:val="BF5A14"/>
        </w:rPr>
      </w:pPr>
      <w:r>
        <w:rPr>
          <w:color w:val="BF5A14"/>
        </w:rPr>
        <w:lastRenderedPageBreak/>
        <w:t>Abstract</w:t>
      </w:r>
    </w:p>
    <w:p w:rsidR="00AE3E37" w:rsidRPr="00DF4912" w:rsidRDefault="00DF4912">
      <w:pPr>
        <w:pStyle w:val="Heading3"/>
        <w:spacing w:before="147"/>
        <w:jc w:val="both"/>
        <w:rPr>
          <w:b w:val="0"/>
        </w:rPr>
      </w:pPr>
      <w:r w:rsidRPr="00DF4912">
        <w:rPr>
          <w:b w:val="0"/>
          <w:szCs w:val="24"/>
        </w:rPr>
        <w:t>In Punjab, there is lot of development in aquaculture and increasing interest in fish farming, representing it as the fastest growing animal husbandry. As natural stocks have declined due to over exploitation/pollution, the aquaculture has become increasingly important as the source of fishery products.</w:t>
      </w:r>
      <w:r>
        <w:rPr>
          <w:b w:val="0"/>
        </w:rPr>
        <w:t xml:space="preserve"> </w:t>
      </w:r>
      <w:r w:rsidRPr="00DF4912">
        <w:rPr>
          <w:b w:val="0"/>
        </w:rPr>
        <w:t>Fishes in these farmlands are prone to several diseases like trichodiniosis, haemorrhagic septicemia and various parasitic infectious diseases. Myxozoanosis is the emerging disease caused by microscopic metazoan parasites are economically important group of parasites infecting fish harvested for food</w:t>
      </w:r>
      <w:r w:rsidR="0035568B">
        <w:rPr>
          <w:b w:val="0"/>
        </w:rPr>
        <w:t>.</w:t>
      </w:r>
      <w:r w:rsidRPr="00DF4912">
        <w:rPr>
          <w:b w:val="0"/>
        </w:rPr>
        <w:t xml:space="preserve"> </w:t>
      </w:r>
      <w:r w:rsidR="0035568B" w:rsidRPr="0035568B">
        <w:rPr>
          <w:b w:val="0"/>
        </w:rPr>
        <w:t>Myxozoans are widely dispersed in native and pond-reared fish populations. Since, new aquaculture practices such as intensive and polyculture systems have resulted in increased disease outbreaks therefore, research in this direction is urgently needed.</w:t>
      </w:r>
      <w:r w:rsidR="0035568B">
        <w:rPr>
          <w:b w:val="0"/>
        </w:rPr>
        <w:t xml:space="preserve"> </w:t>
      </w:r>
      <w:r w:rsidR="0035568B" w:rsidRPr="0035568B">
        <w:rPr>
          <w:b w:val="0"/>
        </w:rPr>
        <w:t xml:space="preserve">The present study was conducted to record </w:t>
      </w:r>
      <w:r w:rsidR="005E5541">
        <w:rPr>
          <w:b w:val="0"/>
        </w:rPr>
        <w:t xml:space="preserve">diversity, </w:t>
      </w:r>
      <w:r w:rsidR="0035568B" w:rsidRPr="0035568B">
        <w:rPr>
          <w:b w:val="0"/>
        </w:rPr>
        <w:t xml:space="preserve">prevalence and effects of pathogenicity caused by myxozoan parasitic infections in cultured fishes in Punjab. </w:t>
      </w:r>
      <w:r w:rsidR="0035568B">
        <w:rPr>
          <w:b w:val="0"/>
        </w:rPr>
        <w:t xml:space="preserve">For this </w:t>
      </w:r>
      <w:r w:rsidRPr="00DF4912">
        <w:rPr>
          <w:b w:val="0"/>
        </w:rPr>
        <w:t xml:space="preserve"> </w:t>
      </w:r>
      <w:r>
        <w:rPr>
          <w:b w:val="0"/>
        </w:rPr>
        <w:t>n</w:t>
      </w:r>
      <w:r w:rsidRPr="00DF4912">
        <w:rPr>
          <w:b w:val="0"/>
        </w:rPr>
        <w:t xml:space="preserve">ative carps such as </w:t>
      </w:r>
      <w:r w:rsidRPr="00DF4912">
        <w:rPr>
          <w:b w:val="0"/>
          <w:i/>
          <w:iCs/>
        </w:rPr>
        <w:t>Labeo rohita,</w:t>
      </w:r>
      <w:r w:rsidRPr="00DF4912">
        <w:rPr>
          <w:b w:val="0"/>
        </w:rPr>
        <w:t xml:space="preserve"> </w:t>
      </w:r>
      <w:r w:rsidRPr="00DF4912">
        <w:rPr>
          <w:b w:val="0"/>
          <w:i/>
          <w:iCs/>
        </w:rPr>
        <w:t>Catla catla, Cirrhinus mrigala</w:t>
      </w:r>
      <w:r w:rsidRPr="00DF4912">
        <w:rPr>
          <w:b w:val="0"/>
        </w:rPr>
        <w:t xml:space="preserve">, exotic carps such as </w:t>
      </w:r>
      <w:r w:rsidRPr="00DF4912">
        <w:rPr>
          <w:b w:val="0"/>
          <w:i/>
          <w:iCs/>
        </w:rPr>
        <w:t xml:space="preserve">Cyprinus carpio, Hypophthalmichthys molitrix, Ctenopharyngodon idellus </w:t>
      </w:r>
      <w:r w:rsidRPr="00DF4912">
        <w:rPr>
          <w:b w:val="0"/>
        </w:rPr>
        <w:t xml:space="preserve">and catfish </w:t>
      </w:r>
      <w:r w:rsidRPr="00DF4912">
        <w:rPr>
          <w:b w:val="0"/>
          <w:i/>
          <w:iCs/>
        </w:rPr>
        <w:t>Sperata seenghala</w:t>
      </w:r>
      <w:r w:rsidRPr="00DF4912">
        <w:rPr>
          <w:b w:val="0"/>
        </w:rPr>
        <w:t xml:space="preserve"> were collected and examined for the presence of myxozoan parasites. In total 30 species belonging to four genera </w:t>
      </w:r>
      <w:r w:rsidRPr="00DF4912">
        <w:rPr>
          <w:b w:val="0"/>
          <w:i/>
        </w:rPr>
        <w:t xml:space="preserve">Myxobolus </w:t>
      </w:r>
      <w:r w:rsidRPr="00DF4912">
        <w:rPr>
          <w:b w:val="0"/>
        </w:rPr>
        <w:t>(19)</w:t>
      </w:r>
      <w:r w:rsidRPr="00DF4912">
        <w:rPr>
          <w:b w:val="0"/>
          <w:i/>
        </w:rPr>
        <w:t>, Thelohanellus</w:t>
      </w:r>
      <w:r w:rsidRPr="00DF4912">
        <w:rPr>
          <w:b w:val="0"/>
        </w:rPr>
        <w:t xml:space="preserve"> (7)</w:t>
      </w:r>
      <w:r w:rsidRPr="00DF4912">
        <w:rPr>
          <w:b w:val="0"/>
          <w:i/>
        </w:rPr>
        <w:t xml:space="preserve"> </w:t>
      </w:r>
      <w:r w:rsidRPr="00DF4912">
        <w:rPr>
          <w:b w:val="0"/>
        </w:rPr>
        <w:t>and</w:t>
      </w:r>
      <w:r w:rsidRPr="00DF4912">
        <w:rPr>
          <w:b w:val="0"/>
          <w:i/>
        </w:rPr>
        <w:t xml:space="preserve"> Henneguya </w:t>
      </w:r>
      <w:r w:rsidRPr="00DF4912">
        <w:rPr>
          <w:b w:val="0"/>
        </w:rPr>
        <w:t xml:space="preserve">(3) and </w:t>
      </w:r>
      <w:r w:rsidRPr="00DF4912">
        <w:rPr>
          <w:b w:val="0"/>
          <w:i/>
        </w:rPr>
        <w:t>Triangula</w:t>
      </w:r>
      <w:r w:rsidRPr="00DF4912">
        <w:rPr>
          <w:b w:val="0"/>
        </w:rPr>
        <w:t xml:space="preserve"> (1) have been identified</w:t>
      </w:r>
      <w:r w:rsidR="009C0000">
        <w:rPr>
          <w:b w:val="0"/>
        </w:rPr>
        <w:t xml:space="preserve">. </w:t>
      </w:r>
      <w:r w:rsidRPr="00DF4912">
        <w:rPr>
          <w:b w:val="0"/>
        </w:rPr>
        <w:t xml:space="preserve"> </w:t>
      </w:r>
      <w:r w:rsidRPr="00DF4912">
        <w:rPr>
          <w:b w:val="0"/>
          <w:iCs/>
        </w:rPr>
        <w:t xml:space="preserve">Description of morphological and morphometric variations of myxospores, host specificity, locality, site of infection, size of the plasmodium, type of plasmodium and pathogenicity have been </w:t>
      </w:r>
      <w:r w:rsidR="005E5541">
        <w:rPr>
          <w:b w:val="0"/>
          <w:iCs/>
        </w:rPr>
        <w:t>provided.</w:t>
      </w:r>
      <w:r w:rsidRPr="00DF4912">
        <w:rPr>
          <w:b w:val="0"/>
          <w:iCs/>
        </w:rPr>
        <w:t xml:space="preserve"> </w:t>
      </w:r>
      <w:r w:rsidRPr="00DF4912">
        <w:rPr>
          <w:b w:val="0"/>
        </w:rPr>
        <w:t xml:space="preserve">Histopathological studies reveal the type of plasmodia, exact location of the plasmodia for each species studied and identified infecting gills, fins, scales, liver and gall bladder of cultured fishes. Intensity of infection </w:t>
      </w:r>
      <w:r w:rsidR="005E5541">
        <w:rPr>
          <w:b w:val="0"/>
        </w:rPr>
        <w:t>and m</w:t>
      </w:r>
      <w:r w:rsidRPr="00DF4912">
        <w:rPr>
          <w:b w:val="0"/>
        </w:rPr>
        <w:t xml:space="preserve">ixed infection was </w:t>
      </w:r>
      <w:r w:rsidR="005E5541">
        <w:rPr>
          <w:b w:val="0"/>
        </w:rPr>
        <w:t xml:space="preserve">also recorded. </w:t>
      </w:r>
      <w:r w:rsidRPr="00DF4912">
        <w:rPr>
          <w:b w:val="0"/>
        </w:rPr>
        <w:t xml:space="preserve">Native fishes were more infected with prevalence of 44.2% as compared to exotic fishes 27.4%. Female fishes were more infected with prevalence of 38.25% as compared to males 26.21%. Temperature influenced the prevalence of </w:t>
      </w:r>
      <w:r w:rsidR="005E5541" w:rsidRPr="00DF4912">
        <w:rPr>
          <w:b w:val="0"/>
        </w:rPr>
        <w:t>myxozoan</w:t>
      </w:r>
      <w:r w:rsidRPr="00DF4912">
        <w:rPr>
          <w:b w:val="0"/>
        </w:rPr>
        <w:t xml:space="preserve"> as with the increase in temperature, prevalence of infection also increased.  </w:t>
      </w:r>
    </w:p>
    <w:p w:rsidR="00AE3E37" w:rsidRDefault="00A9710C">
      <w:pPr>
        <w:pStyle w:val="Heading3"/>
        <w:spacing w:before="74"/>
        <w:rPr>
          <w:color w:val="BF5A14"/>
        </w:rPr>
      </w:pPr>
      <w:r>
        <w:rPr>
          <w:b w:val="0"/>
        </w:rPr>
        <w:br w:type="column"/>
      </w:r>
      <w:r>
        <w:rPr>
          <w:color w:val="BF5A14"/>
        </w:rPr>
        <w:lastRenderedPageBreak/>
        <w:t>Image</w:t>
      </w:r>
      <w:r w:rsidR="009C0000" w:rsidRPr="009C0000">
        <w:rPr>
          <w:rFonts w:ascii="Tw Cen MT" w:eastAsia="Tw Cen MT" w:hAnsi="Tw Cen MT" w:cs="Tw Cen MT"/>
          <w:b w:val="0"/>
          <w:bCs w:val="0"/>
          <w:noProof/>
          <w:sz w:val="22"/>
          <w:szCs w:val="22"/>
        </w:rPr>
        <w:t xml:space="preserve"> </w:t>
      </w:r>
    </w:p>
    <w:p w:rsidR="009C0000" w:rsidRDefault="00EF3B92">
      <w:pPr>
        <w:pStyle w:val="Heading3"/>
        <w:spacing w:before="74"/>
        <w:rPr>
          <w:color w:val="BF5A14"/>
        </w:rPr>
      </w:pPr>
      <w:r>
        <w:rPr>
          <w:noProof/>
          <w:color w:val="BF5A14"/>
        </w:rPr>
        <w:drawing>
          <wp:inline distT="0" distB="0" distL="0" distR="0">
            <wp:extent cx="3218136" cy="2257871"/>
            <wp:effectExtent l="19050" t="0" r="1314" b="0"/>
            <wp:docPr id="7" name="Picture 7" descr="C:\Users\ITM\Desktop\Pict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TM\Desktop\Picture3.jpg"/>
                    <pic:cNvPicPr>
                      <a:picLocks noChangeAspect="1" noChangeArrowheads="1"/>
                    </pic:cNvPicPr>
                  </pic:nvPicPr>
                  <pic:blipFill>
                    <a:blip r:embed="rId9"/>
                    <a:srcRect/>
                    <a:stretch>
                      <a:fillRect/>
                    </a:stretch>
                  </pic:blipFill>
                  <pic:spPr bwMode="auto">
                    <a:xfrm>
                      <a:off x="0" y="0"/>
                      <a:ext cx="3224105" cy="2262059"/>
                    </a:xfrm>
                    <a:prstGeom prst="rect">
                      <a:avLst/>
                    </a:prstGeom>
                    <a:noFill/>
                    <a:ln w="9525">
                      <a:noFill/>
                      <a:miter lim="800000"/>
                      <a:headEnd/>
                      <a:tailEnd/>
                    </a:ln>
                  </pic:spPr>
                </pic:pic>
              </a:graphicData>
            </a:graphic>
          </wp:inline>
        </w:drawing>
      </w:r>
    </w:p>
    <w:p w:rsidR="009C0000" w:rsidRDefault="009C0000">
      <w:pPr>
        <w:pStyle w:val="Heading3"/>
        <w:spacing w:before="74"/>
        <w:rPr>
          <w:color w:val="BF5A14"/>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5D4159" w:rsidRDefault="005D4159" w:rsidP="00C708A5">
      <w:pPr>
        <w:pStyle w:val="ListParagraph"/>
        <w:numPr>
          <w:ilvl w:val="0"/>
          <w:numId w:val="4"/>
        </w:numPr>
        <w:tabs>
          <w:tab w:val="left" w:pos="384"/>
        </w:tabs>
        <w:ind w:right="117"/>
        <w:rPr>
          <w:sz w:val="18"/>
        </w:rPr>
      </w:pPr>
      <w:r w:rsidRPr="005D4159">
        <w:rPr>
          <w:sz w:val="18"/>
        </w:rPr>
        <w:t>Katoch A, Kaur H (2016) Histological location of myxosporean plasmodia in fish tissue with Luna’s method. Parasitology Research, 115(10):3705-3707).</w:t>
      </w:r>
    </w:p>
    <w:p w:rsidR="005D4159" w:rsidRPr="00C708A5" w:rsidRDefault="005D4159" w:rsidP="005D4159">
      <w:pPr>
        <w:pStyle w:val="ListParagraph"/>
        <w:numPr>
          <w:ilvl w:val="0"/>
          <w:numId w:val="4"/>
        </w:numPr>
        <w:tabs>
          <w:tab w:val="left" w:pos="384"/>
        </w:tabs>
        <w:ind w:right="117"/>
        <w:rPr>
          <w:sz w:val="18"/>
        </w:rPr>
      </w:pPr>
      <w:r w:rsidRPr="00C708A5">
        <w:rPr>
          <w:sz w:val="18"/>
        </w:rPr>
        <w:t>Kau</w:t>
      </w:r>
      <w:r>
        <w:rPr>
          <w:sz w:val="18"/>
        </w:rPr>
        <w:t>r</w:t>
      </w:r>
      <w:r w:rsidRPr="00C708A5">
        <w:rPr>
          <w:sz w:val="18"/>
        </w:rPr>
        <w:t xml:space="preserve"> H</w:t>
      </w:r>
      <w:r>
        <w:rPr>
          <w:sz w:val="18"/>
        </w:rPr>
        <w:t>,</w:t>
      </w:r>
      <w:r w:rsidRPr="00C708A5">
        <w:rPr>
          <w:sz w:val="18"/>
        </w:rPr>
        <w:t xml:space="preserve"> Katoch</w:t>
      </w:r>
      <w:r>
        <w:rPr>
          <w:sz w:val="18"/>
        </w:rPr>
        <w:t xml:space="preserve"> A</w:t>
      </w:r>
      <w:r w:rsidRPr="00C708A5">
        <w:rPr>
          <w:sz w:val="18"/>
        </w:rPr>
        <w:t xml:space="preserve"> (2016) Prevalence, site and tissue preference of myxozoan parasites infecting gills of cultu</w:t>
      </w:r>
      <w:r>
        <w:rPr>
          <w:sz w:val="18"/>
        </w:rPr>
        <w:t>red fish in Punjab (India). Diseases</w:t>
      </w:r>
      <w:r w:rsidRPr="00C708A5">
        <w:rPr>
          <w:sz w:val="18"/>
        </w:rPr>
        <w:t xml:space="preserve"> </w:t>
      </w:r>
      <w:r>
        <w:rPr>
          <w:sz w:val="18"/>
        </w:rPr>
        <w:t xml:space="preserve">of </w:t>
      </w:r>
      <w:r w:rsidRPr="00C708A5">
        <w:rPr>
          <w:sz w:val="18"/>
        </w:rPr>
        <w:t>Aquat</w:t>
      </w:r>
      <w:r>
        <w:rPr>
          <w:sz w:val="18"/>
        </w:rPr>
        <w:t>ic</w:t>
      </w:r>
      <w:r w:rsidRPr="00C708A5">
        <w:rPr>
          <w:sz w:val="18"/>
        </w:rPr>
        <w:t xml:space="preserve"> Org</w:t>
      </w:r>
      <w:r>
        <w:rPr>
          <w:sz w:val="18"/>
        </w:rPr>
        <w:t>anisms</w:t>
      </w:r>
      <w:r w:rsidRPr="00C708A5">
        <w:rPr>
          <w:sz w:val="18"/>
        </w:rPr>
        <w:t>, 11</w:t>
      </w:r>
      <w:r>
        <w:rPr>
          <w:sz w:val="18"/>
        </w:rPr>
        <w:t xml:space="preserve">8: 129-137. </w:t>
      </w:r>
    </w:p>
    <w:p w:rsidR="00C708A5" w:rsidRDefault="00C708A5" w:rsidP="00C708A5">
      <w:pPr>
        <w:pStyle w:val="ListParagraph"/>
        <w:numPr>
          <w:ilvl w:val="0"/>
          <w:numId w:val="4"/>
        </w:numPr>
        <w:tabs>
          <w:tab w:val="left" w:pos="384"/>
        </w:tabs>
        <w:ind w:right="117"/>
        <w:rPr>
          <w:sz w:val="18"/>
        </w:rPr>
      </w:pPr>
      <w:r>
        <w:rPr>
          <w:sz w:val="18"/>
        </w:rPr>
        <w:t xml:space="preserve">Kaur </w:t>
      </w:r>
      <w:r w:rsidRPr="00C708A5">
        <w:rPr>
          <w:sz w:val="18"/>
        </w:rPr>
        <w:t>H</w:t>
      </w:r>
      <w:r>
        <w:rPr>
          <w:sz w:val="18"/>
        </w:rPr>
        <w:t>,</w:t>
      </w:r>
      <w:r w:rsidRPr="00C708A5">
        <w:rPr>
          <w:sz w:val="18"/>
        </w:rPr>
        <w:t xml:space="preserve"> Katoch A (2014) Gill disease caused by Thelohanellus bifurcata Basu and Haldar, 1999 a pathogenic myxozoan parasite in cultured Indian carp, Labeo rohita (Hami</w:t>
      </w:r>
      <w:r>
        <w:rPr>
          <w:sz w:val="18"/>
        </w:rPr>
        <w:t xml:space="preserve">lton, 1822) in Punjab, India. Journal of </w:t>
      </w:r>
      <w:r w:rsidRPr="00C708A5">
        <w:rPr>
          <w:sz w:val="18"/>
        </w:rPr>
        <w:t>Anim</w:t>
      </w:r>
      <w:r>
        <w:rPr>
          <w:sz w:val="18"/>
        </w:rPr>
        <w:t>al</w:t>
      </w:r>
      <w:r w:rsidRPr="00C708A5">
        <w:rPr>
          <w:sz w:val="18"/>
        </w:rPr>
        <w:t xml:space="preserve"> Health</w:t>
      </w:r>
      <w:r>
        <w:rPr>
          <w:sz w:val="18"/>
        </w:rPr>
        <w:t xml:space="preserve"> and </w:t>
      </w:r>
      <w:r w:rsidRPr="00C708A5">
        <w:rPr>
          <w:sz w:val="18"/>
        </w:rPr>
        <w:t xml:space="preserve"> Prod</w:t>
      </w:r>
      <w:r>
        <w:rPr>
          <w:sz w:val="18"/>
        </w:rPr>
        <w:t>uction,</w:t>
      </w:r>
      <w:r w:rsidRPr="00C708A5">
        <w:rPr>
          <w:sz w:val="18"/>
        </w:rPr>
        <w:t xml:space="preserve"> 2 (2): 19-24. </w:t>
      </w:r>
    </w:p>
    <w:p w:rsidR="00C708A5" w:rsidRPr="00C708A5" w:rsidRDefault="00C708A5" w:rsidP="00C708A5">
      <w:pPr>
        <w:pStyle w:val="ListParagraph"/>
        <w:numPr>
          <w:ilvl w:val="0"/>
          <w:numId w:val="4"/>
        </w:numPr>
        <w:tabs>
          <w:tab w:val="left" w:pos="384"/>
        </w:tabs>
        <w:ind w:right="117"/>
        <w:rPr>
          <w:sz w:val="18"/>
        </w:rPr>
      </w:pPr>
      <w:r w:rsidRPr="00C708A5">
        <w:rPr>
          <w:sz w:val="18"/>
        </w:rPr>
        <w:t>Kaur H, Katoch A</w:t>
      </w:r>
      <w:r>
        <w:rPr>
          <w:sz w:val="18"/>
        </w:rPr>
        <w:t xml:space="preserve">, </w:t>
      </w:r>
      <w:r w:rsidRPr="00C708A5">
        <w:rPr>
          <w:sz w:val="18"/>
        </w:rPr>
        <w:t>Gupta, M. (2014) Thelohanellus filli sp. n., a pathogenic myxosporean infecting gills of cultured carp, Labeo rohita (Hamilton 1822) in Punjab, India. Species, 1</w:t>
      </w:r>
      <w:r>
        <w:rPr>
          <w:sz w:val="18"/>
        </w:rPr>
        <w:t>0(23): 31-38.</w:t>
      </w:r>
    </w:p>
    <w:p w:rsidR="00C708A5" w:rsidRPr="00C708A5" w:rsidRDefault="00C708A5" w:rsidP="00C708A5">
      <w:pPr>
        <w:pStyle w:val="ListParagraph"/>
        <w:numPr>
          <w:ilvl w:val="0"/>
          <w:numId w:val="4"/>
        </w:numPr>
        <w:tabs>
          <w:tab w:val="left" w:pos="384"/>
        </w:tabs>
        <w:ind w:right="117"/>
        <w:rPr>
          <w:sz w:val="18"/>
        </w:rPr>
      </w:pPr>
      <w:r>
        <w:rPr>
          <w:sz w:val="18"/>
        </w:rPr>
        <w:t>Kaur, H</w:t>
      </w:r>
      <w:r w:rsidRPr="00C708A5">
        <w:rPr>
          <w:sz w:val="18"/>
        </w:rPr>
        <w:t>, Dar S</w:t>
      </w:r>
      <w:r>
        <w:rPr>
          <w:sz w:val="18"/>
        </w:rPr>
        <w:t xml:space="preserve"> </w:t>
      </w:r>
      <w:r w:rsidRPr="00C708A5">
        <w:rPr>
          <w:sz w:val="18"/>
        </w:rPr>
        <w:t>A</w:t>
      </w:r>
      <w:r>
        <w:rPr>
          <w:sz w:val="18"/>
        </w:rPr>
        <w:t>,</w:t>
      </w:r>
      <w:r w:rsidRPr="00C708A5">
        <w:rPr>
          <w:sz w:val="18"/>
        </w:rPr>
        <w:t xml:space="preserve"> Katoch A (2014) Thelohanellus dykovi sp. nov. (Myxozoa: Bivalvulidae), a pathogenic gill parasite in cultured Indian major carp, Labeo rohita (Hamilton 1822) in Punjab (India). Species, 1</w:t>
      </w:r>
      <w:r>
        <w:rPr>
          <w:sz w:val="18"/>
        </w:rPr>
        <w:t xml:space="preserve">0(23): 24-30. </w:t>
      </w:r>
    </w:p>
    <w:p w:rsidR="00AE3E37" w:rsidRPr="00C708A5" w:rsidRDefault="00C708A5" w:rsidP="00C708A5">
      <w:pPr>
        <w:pStyle w:val="ListParagraph"/>
        <w:tabs>
          <w:tab w:val="left" w:pos="384"/>
        </w:tabs>
        <w:ind w:left="720" w:right="117" w:firstLine="0"/>
        <w:sectPr w:rsidR="00AE3E37" w:rsidRPr="00C708A5">
          <w:type w:val="continuous"/>
          <w:pgSz w:w="11910" w:h="16840"/>
          <w:pgMar w:top="1740" w:right="600" w:bottom="840" w:left="620" w:header="720" w:footer="720" w:gutter="0"/>
          <w:cols w:num="2" w:space="720" w:equalWidth="0">
            <w:col w:w="5214" w:space="138"/>
            <w:col w:w="5338"/>
          </w:cols>
        </w:sectPr>
      </w:pPr>
      <w:r w:rsidRPr="00C708A5">
        <w:rPr>
          <w:sz w:val="18"/>
        </w:rPr>
        <w:t xml:space="preserve">  </w:t>
      </w:r>
    </w:p>
    <w:p w:rsidR="00AE3E37" w:rsidRDefault="00C708A5" w:rsidP="00C708A5">
      <w:pPr>
        <w:pStyle w:val="BodyText"/>
        <w:tabs>
          <w:tab w:val="left" w:pos="9285"/>
        </w:tabs>
        <w:rPr>
          <w:rFonts w:ascii="Calibri"/>
          <w:sz w:val="20"/>
        </w:rPr>
      </w:pPr>
      <w:r>
        <w:rPr>
          <w:rFonts w:ascii="Calibri"/>
          <w:sz w:val="20"/>
        </w:rPr>
        <w:lastRenderedPageBreak/>
        <w:tab/>
      </w:r>
    </w:p>
    <w:p w:rsidR="00AE3E37" w:rsidRDefault="00A95881">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C708A5" w:rsidP="00404E5B">
      <w:pPr>
        <w:spacing w:before="92"/>
        <w:ind w:right="4234"/>
        <w:rPr>
          <w:rFonts w:ascii="Arial"/>
        </w:rPr>
      </w:pPr>
      <w:r w:rsidRPr="00C708A5">
        <w:rPr>
          <w:noProof/>
        </w:rPr>
        <w:drawing>
          <wp:inline distT="0" distB="0" distL="0" distR="0">
            <wp:extent cx="580796" cy="672998"/>
            <wp:effectExtent l="19050" t="0" r="0" b="0"/>
            <wp:docPr id="3" name="Picture 2" descr="D:\1st Anu Ph.D\biodata\DSC_0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st Anu Ph.D\biodata\DSC_0700.JPG"/>
                    <pic:cNvPicPr>
                      <a:picLocks noChangeAspect="1" noChangeArrowheads="1"/>
                    </pic:cNvPicPr>
                  </pic:nvPicPr>
                  <pic:blipFill>
                    <a:blip r:embed="rId10" cstate="print"/>
                    <a:srcRect/>
                    <a:stretch>
                      <a:fillRect/>
                    </a:stretch>
                  </pic:blipFill>
                  <pic:spPr bwMode="auto">
                    <a:xfrm>
                      <a:off x="0" y="0"/>
                      <a:ext cx="585743" cy="678730"/>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3A5183" w:rsidP="005864E7">
      <w:pPr>
        <w:spacing w:line="154" w:lineRule="exact"/>
        <w:ind w:left="216" w:right="230"/>
        <w:rPr>
          <w:rFonts w:ascii="Arial"/>
          <w:sz w:val="14"/>
        </w:rPr>
      </w:pPr>
      <w:r>
        <w:rPr>
          <w:rFonts w:ascii="Arial"/>
          <w:sz w:val="14"/>
        </w:rPr>
        <w:t>Anu Katoch has completed her</w:t>
      </w:r>
      <w:r w:rsidR="005E5541" w:rsidRPr="005E5541">
        <w:rPr>
          <w:rFonts w:ascii="Arial"/>
          <w:sz w:val="14"/>
        </w:rPr>
        <w:t xml:space="preserve"> Ph</w:t>
      </w:r>
      <w:r w:rsidR="00E82C73">
        <w:rPr>
          <w:rFonts w:ascii="Arial"/>
          <w:sz w:val="14"/>
        </w:rPr>
        <w:t>.</w:t>
      </w:r>
      <w:r w:rsidR="005E5541" w:rsidRPr="005E5541">
        <w:rPr>
          <w:rFonts w:ascii="Arial"/>
          <w:sz w:val="14"/>
        </w:rPr>
        <w:t xml:space="preserve">D at the age of 33 years from Punjabi University, Patiala (Punjab, India). She is working as Assistant Professor in </w:t>
      </w:r>
      <w:r w:rsidR="005E5541">
        <w:rPr>
          <w:rFonts w:ascii="Arial"/>
          <w:sz w:val="14"/>
        </w:rPr>
        <w:t xml:space="preserve">Mata Gujri College Fatehgarh Sahib, affiliated to </w:t>
      </w:r>
      <w:r>
        <w:rPr>
          <w:rFonts w:ascii="Arial"/>
          <w:sz w:val="14"/>
        </w:rPr>
        <w:t>Punjabi</w:t>
      </w:r>
      <w:r w:rsidR="005E5541">
        <w:rPr>
          <w:rFonts w:ascii="Arial"/>
          <w:sz w:val="14"/>
        </w:rPr>
        <w:t xml:space="preserve"> University, Patiala (Punjab) India.</w:t>
      </w:r>
      <w:r w:rsidR="005E5541" w:rsidRPr="005E5541">
        <w:rPr>
          <w:rFonts w:ascii="Arial"/>
          <w:sz w:val="14"/>
        </w:rPr>
        <w:t xml:space="preserve"> She has published 9 papers i</w:t>
      </w:r>
      <w:r w:rsidR="00E82C73">
        <w:rPr>
          <w:rFonts w:ascii="Arial"/>
          <w:sz w:val="14"/>
        </w:rPr>
        <w:t xml:space="preserve">n reputed journals and </w:t>
      </w:r>
      <w:r w:rsidR="005E5541" w:rsidRPr="005E5541">
        <w:rPr>
          <w:rFonts w:ascii="Arial"/>
          <w:sz w:val="14"/>
        </w:rPr>
        <w:t>represented her work in many National</w:t>
      </w:r>
      <w:r w:rsidR="005E5541">
        <w:rPr>
          <w:rFonts w:ascii="Arial"/>
          <w:sz w:val="14"/>
        </w:rPr>
        <w:t xml:space="preserve"> and International conferences. </w:t>
      </w:r>
      <w:r w:rsidR="00A9710C">
        <w:rPr>
          <w:rFonts w:ascii="Arial"/>
          <w:sz w:val="14"/>
        </w:rPr>
        <w:t>She</w:t>
      </w:r>
      <w:r w:rsidR="00F81E40">
        <w:rPr>
          <w:rFonts w:ascii="Arial"/>
          <w:sz w:val="14"/>
        </w:rPr>
        <w:t xml:space="preserve"> </w:t>
      </w:r>
      <w:r w:rsidR="00A9710C">
        <w:rPr>
          <w:rFonts w:ascii="Arial"/>
          <w:sz w:val="14"/>
        </w:rPr>
        <w:t>has</w:t>
      </w:r>
      <w:r w:rsidR="00F81E40">
        <w:rPr>
          <w:rFonts w:ascii="Arial"/>
          <w:sz w:val="14"/>
        </w:rPr>
        <w:t xml:space="preserve"> </w:t>
      </w:r>
      <w:r w:rsidR="005E5541">
        <w:rPr>
          <w:rFonts w:ascii="Arial"/>
          <w:sz w:val="14"/>
        </w:rPr>
        <w:t xml:space="preserve">expertise </w:t>
      </w:r>
      <w:r w:rsidR="005864E7">
        <w:rPr>
          <w:rFonts w:ascii="Arial"/>
          <w:sz w:val="14"/>
        </w:rPr>
        <w:t>in the field of</w:t>
      </w:r>
      <w:r w:rsidR="005E5541">
        <w:rPr>
          <w:rFonts w:ascii="Arial"/>
          <w:sz w:val="14"/>
        </w:rPr>
        <w:t xml:space="preserve"> </w:t>
      </w:r>
      <w:r w:rsidR="005864E7">
        <w:rPr>
          <w:rFonts w:ascii="Arial"/>
          <w:sz w:val="14"/>
        </w:rPr>
        <w:t>taxonomy of parasites, diversity, histopathology and pathogenicity.</w:t>
      </w:r>
      <w:r w:rsidR="00A9710C">
        <w:rPr>
          <w:rFonts w:ascii="Arial"/>
          <w:sz w:val="14"/>
        </w:rPr>
        <w:t xml:space="preserve"> </w:t>
      </w:r>
    </w:p>
    <w:p w:rsidR="00AE3E37" w:rsidRDefault="00A9710C" w:rsidP="005864E7">
      <w:pPr>
        <w:spacing w:before="62"/>
        <w:ind w:left="4217" w:right="4235"/>
        <w:rPr>
          <w:rFonts w:ascii="Arial"/>
          <w:sz w:val="14"/>
        </w:rPr>
      </w:pPr>
      <w:r>
        <w:rPr>
          <w:rFonts w:ascii="Arial"/>
          <w:sz w:val="14"/>
        </w:rPr>
        <w:t xml:space="preserve">Email: </w:t>
      </w:r>
      <w:r w:rsidR="00E23664">
        <w:rPr>
          <w:rFonts w:ascii="Arial"/>
          <w:sz w:val="14"/>
        </w:rPr>
        <w:t xml:space="preserve">anuraajput@gmail.com </w:t>
      </w:r>
    </w:p>
    <w:p w:rsidR="00AE3E37" w:rsidRDefault="00A95881" w:rsidP="005864E7">
      <w:pPr>
        <w:pStyle w:val="BodyText"/>
        <w:spacing w:before="2"/>
        <w:rPr>
          <w:rFonts w:ascii="Arial"/>
          <w:sz w:val="19"/>
        </w:rPr>
      </w:pPr>
      <w:r w:rsidRPr="00A95881">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3A5183" w:rsidRDefault="003A5183" w:rsidP="003A5183">
      <w:pPr>
        <w:pStyle w:val="BodyText"/>
        <w:spacing w:before="3"/>
        <w:rPr>
          <w:rFonts w:ascii="Minion Pro"/>
          <w:sz w:val="26"/>
        </w:rPr>
      </w:pPr>
    </w:p>
    <w:sectPr w:rsidR="003A518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735C" w:rsidRDefault="003C735C">
      <w:r>
        <w:separator/>
      </w:r>
    </w:p>
  </w:endnote>
  <w:endnote w:type="continuationSeparator" w:id="1">
    <w:p w:rsidR="003C735C" w:rsidRDefault="003C735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95881">
    <w:pPr>
      <w:pStyle w:val="BodyText"/>
      <w:spacing w:line="14" w:lineRule="auto"/>
      <w:rPr>
        <w:sz w:val="20"/>
      </w:rPr>
    </w:pPr>
    <w:r w:rsidRPr="00A95881">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95881">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95881">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735C" w:rsidRDefault="003C735C">
      <w:r>
        <w:separator/>
      </w:r>
    </w:p>
  </w:footnote>
  <w:footnote w:type="continuationSeparator" w:id="1">
    <w:p w:rsidR="003C735C" w:rsidRDefault="003C73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95881">
    <w:pPr>
      <w:pStyle w:val="BodyText"/>
      <w:spacing w:line="14" w:lineRule="auto"/>
      <w:rPr>
        <w:sz w:val="20"/>
      </w:rPr>
    </w:pPr>
    <w:r w:rsidRPr="00A95881">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A95881">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360762A"/>
    <w:multiLevelType w:val="hybridMultilevel"/>
    <w:tmpl w:val="9462D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AB6D22"/>
    <w:multiLevelType w:val="hybridMultilevel"/>
    <w:tmpl w:val="1DC45C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725D6"/>
    <w:rsid w:val="00292ED9"/>
    <w:rsid w:val="0035568B"/>
    <w:rsid w:val="003A5183"/>
    <w:rsid w:val="003C735C"/>
    <w:rsid w:val="003F1F7A"/>
    <w:rsid w:val="00404E5B"/>
    <w:rsid w:val="00414F7B"/>
    <w:rsid w:val="004355DC"/>
    <w:rsid w:val="004749B4"/>
    <w:rsid w:val="00494130"/>
    <w:rsid w:val="004F3523"/>
    <w:rsid w:val="005864E7"/>
    <w:rsid w:val="005973B9"/>
    <w:rsid w:val="005B3A56"/>
    <w:rsid w:val="005D4159"/>
    <w:rsid w:val="005E5541"/>
    <w:rsid w:val="006060CE"/>
    <w:rsid w:val="0063497F"/>
    <w:rsid w:val="00873DF0"/>
    <w:rsid w:val="008756E6"/>
    <w:rsid w:val="009B2D44"/>
    <w:rsid w:val="009C0000"/>
    <w:rsid w:val="00A07E82"/>
    <w:rsid w:val="00A95881"/>
    <w:rsid w:val="00A9710C"/>
    <w:rsid w:val="00AE3E37"/>
    <w:rsid w:val="00B21A57"/>
    <w:rsid w:val="00B961B7"/>
    <w:rsid w:val="00C33602"/>
    <w:rsid w:val="00C708A5"/>
    <w:rsid w:val="00CD6F55"/>
    <w:rsid w:val="00D51D7B"/>
    <w:rsid w:val="00DE3104"/>
    <w:rsid w:val="00DF4912"/>
    <w:rsid w:val="00E23664"/>
    <w:rsid w:val="00E82C73"/>
    <w:rsid w:val="00EF3B92"/>
    <w:rsid w:val="00F11231"/>
    <w:rsid w:val="00F72EEA"/>
    <w:rsid w:val="00F81E40"/>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ANU</cp:lastModifiedBy>
  <cp:revision>14</cp:revision>
  <dcterms:created xsi:type="dcterms:W3CDTF">2016-08-31T10:27:00Z</dcterms:created>
  <dcterms:modified xsi:type="dcterms:W3CDTF">2017-02-17T15:42:00Z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