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A73" w:rsidRPr="00A00A73" w:rsidRDefault="00A00A73" w:rsidP="00A00A73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A00A73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Microscopic and molecular detection of </w:t>
      </w:r>
      <w:r w:rsidRPr="00A00A73">
        <w:rPr>
          <w:rFonts w:asciiTheme="majorBidi" w:hAnsiTheme="majorBidi" w:cstheme="majorBidi"/>
          <w:b/>
          <w:bCs/>
          <w:i/>
          <w:iCs/>
          <w:sz w:val="24"/>
          <w:szCs w:val="24"/>
          <w:lang w:bidi="ar-EG"/>
        </w:rPr>
        <w:t>Theileria annulata</w:t>
      </w:r>
      <w:r w:rsidRPr="00A00A73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infection of cattle in Egypt</w:t>
      </w:r>
    </w:p>
    <w:p w:rsidR="00A00A73" w:rsidRPr="00A00A73" w:rsidRDefault="00A00A73" w:rsidP="00A00A73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A00A73">
        <w:rPr>
          <w:rFonts w:asciiTheme="majorBidi" w:hAnsiTheme="majorBidi" w:cstheme="majorBidi"/>
          <w:b/>
          <w:bCs/>
          <w:sz w:val="24"/>
          <w:szCs w:val="24"/>
          <w:lang w:bidi="ar-EG"/>
        </w:rPr>
        <w:t>Khaled Mohamed El-Dakhly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A00A73">
        <w:rPr>
          <w:rFonts w:asciiTheme="majorBidi" w:hAnsiTheme="majorBidi" w:cstheme="majorBidi"/>
          <w:b/>
          <w:bCs/>
          <w:sz w:val="24"/>
          <w:szCs w:val="24"/>
          <w:lang w:bidi="ar-EG"/>
        </w:rPr>
        <w:t>, Waleed Arafa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A00A73">
        <w:rPr>
          <w:rFonts w:asciiTheme="majorBidi" w:hAnsiTheme="majorBidi" w:cstheme="majorBidi"/>
          <w:b/>
          <w:bCs/>
          <w:sz w:val="24"/>
          <w:szCs w:val="24"/>
          <w:lang w:bidi="ar-EG"/>
        </w:rPr>
        <w:t>, Saad Soliman Ghanem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Pr="00A00A73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, </w:t>
      </w:r>
    </w:p>
    <w:p w:rsidR="00A00A73" w:rsidRPr="00A00A73" w:rsidRDefault="00A00A73" w:rsidP="00A00A73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A00A73">
        <w:rPr>
          <w:rFonts w:asciiTheme="majorBidi" w:hAnsiTheme="majorBidi" w:cstheme="majorBidi"/>
          <w:b/>
          <w:bCs/>
          <w:sz w:val="24"/>
          <w:szCs w:val="24"/>
          <w:lang w:bidi="ar-EG"/>
        </w:rPr>
        <w:t>Omima Ramadan Abdel-Fatah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  <w:r w:rsidRPr="00A00A73">
        <w:rPr>
          <w:rFonts w:asciiTheme="majorBidi" w:hAnsiTheme="majorBidi" w:cstheme="majorBidi"/>
          <w:b/>
          <w:bCs/>
          <w:sz w:val="24"/>
          <w:szCs w:val="24"/>
          <w:lang w:bidi="ar-EG"/>
        </w:rPr>
        <w:t>, Ahmed Anwar Wahba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4</w:t>
      </w:r>
    </w:p>
    <w:p w:rsidR="00A00A73" w:rsidRPr="00A00A73" w:rsidRDefault="00A00A73" w:rsidP="00000433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  <w:lang w:bidi="ar-EG"/>
        </w:rPr>
      </w:pPr>
      <w:r w:rsidRPr="00A00A73">
        <w:rPr>
          <w:rFonts w:asciiTheme="majorBidi" w:hAnsiTheme="majorBidi" w:cstheme="majorBidi"/>
          <w:i/>
          <w:iCs/>
          <w:color w:val="131313"/>
          <w:sz w:val="24"/>
          <w:szCs w:val="24"/>
          <w:vertAlign w:val="superscript"/>
        </w:rPr>
        <w:t>1</w:t>
      </w:r>
      <w:r w:rsidRPr="00A00A73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Department of Parasitology, Faculty of Veterinary Medicine, Beni-Suef University, </w:t>
      </w:r>
    </w:p>
    <w:p w:rsidR="00A00A73" w:rsidRPr="00A00A73" w:rsidRDefault="00A00A73" w:rsidP="00000433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  <w:lang w:bidi="ar-EG"/>
        </w:rPr>
      </w:pPr>
      <w:r w:rsidRPr="00A00A73">
        <w:rPr>
          <w:rFonts w:asciiTheme="majorBidi" w:hAnsiTheme="majorBidi" w:cstheme="majorBidi"/>
          <w:i/>
          <w:iCs/>
          <w:sz w:val="24"/>
          <w:szCs w:val="24"/>
          <w:lang w:bidi="ar-EG"/>
        </w:rPr>
        <w:t>Beni-Suef 62511, Egypt</w:t>
      </w:r>
    </w:p>
    <w:p w:rsidR="00A00A73" w:rsidRPr="00A00A73" w:rsidRDefault="00A00A73" w:rsidP="00000433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  <w:lang w:bidi="ar-EG"/>
        </w:rPr>
      </w:pPr>
      <w:r w:rsidRPr="00A00A73">
        <w:rPr>
          <w:rFonts w:asciiTheme="majorBidi" w:hAnsiTheme="majorBidi" w:cstheme="majorBidi"/>
          <w:i/>
          <w:iCs/>
          <w:color w:val="131313"/>
          <w:sz w:val="24"/>
          <w:szCs w:val="24"/>
          <w:vertAlign w:val="superscript"/>
        </w:rPr>
        <w:t>2</w:t>
      </w:r>
      <w:r w:rsidRPr="00A00A73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Directorate of Veterinary Medicine, Veterinary Administration, El-Dakhla, El-Wadi </w:t>
      </w:r>
    </w:p>
    <w:p w:rsidR="00A00A73" w:rsidRPr="00A00A73" w:rsidRDefault="00A00A73" w:rsidP="00000433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  <w:lang w:bidi="ar-EG"/>
        </w:rPr>
      </w:pPr>
      <w:r w:rsidRPr="00A00A73">
        <w:rPr>
          <w:rFonts w:asciiTheme="majorBidi" w:hAnsiTheme="majorBidi" w:cstheme="majorBidi"/>
          <w:i/>
          <w:iCs/>
          <w:sz w:val="24"/>
          <w:szCs w:val="24"/>
          <w:lang w:bidi="ar-EG"/>
        </w:rPr>
        <w:t>El-Gadid, Egypt</w:t>
      </w:r>
    </w:p>
    <w:p w:rsidR="00A00A73" w:rsidRPr="00A00A73" w:rsidRDefault="00A00A73" w:rsidP="00000433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  <w:lang w:bidi="ar-EG"/>
        </w:rPr>
      </w:pPr>
      <w:r w:rsidRPr="00A00A73">
        <w:rPr>
          <w:rFonts w:asciiTheme="majorBidi" w:hAnsiTheme="majorBidi" w:cstheme="majorBidi"/>
          <w:i/>
          <w:iCs/>
          <w:color w:val="131313"/>
          <w:sz w:val="24"/>
          <w:szCs w:val="24"/>
          <w:vertAlign w:val="superscript"/>
        </w:rPr>
        <w:t>3</w:t>
      </w:r>
      <w:r w:rsidRPr="00A00A73">
        <w:rPr>
          <w:rFonts w:asciiTheme="majorBidi" w:hAnsiTheme="majorBidi" w:cstheme="majorBidi"/>
          <w:i/>
          <w:iCs/>
          <w:sz w:val="24"/>
          <w:szCs w:val="24"/>
          <w:lang w:bidi="ar-EG"/>
        </w:rPr>
        <w:t>Animal Health Research Institute, El-Fayoum, Egypt</w:t>
      </w:r>
    </w:p>
    <w:p w:rsidR="00A00A73" w:rsidRPr="00A00A73" w:rsidRDefault="00A00A73" w:rsidP="00000433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  <w:lang w:bidi="ar-EG"/>
        </w:rPr>
      </w:pPr>
      <w:r w:rsidRPr="00A00A73">
        <w:rPr>
          <w:rFonts w:asciiTheme="majorBidi" w:hAnsiTheme="majorBidi" w:cstheme="majorBidi"/>
          <w:i/>
          <w:iCs/>
          <w:color w:val="131313"/>
          <w:sz w:val="24"/>
          <w:szCs w:val="24"/>
          <w:vertAlign w:val="superscript"/>
        </w:rPr>
        <w:t>4</w:t>
      </w:r>
      <w:r w:rsidRPr="00A00A73">
        <w:rPr>
          <w:rFonts w:asciiTheme="majorBidi" w:hAnsiTheme="majorBidi" w:cstheme="majorBidi"/>
          <w:i/>
          <w:iCs/>
          <w:sz w:val="24"/>
          <w:szCs w:val="24"/>
          <w:lang w:bidi="ar-EG"/>
        </w:rPr>
        <w:t>Animal Health Research Institute, Dokki, Giza</w:t>
      </w:r>
    </w:p>
    <w:p w:rsidR="00DF04E3" w:rsidRPr="00A00A73" w:rsidRDefault="00DF04E3" w:rsidP="00DF04E3">
      <w:pPr>
        <w:pStyle w:val="HTMLPreformatted"/>
        <w:rPr>
          <w:rFonts w:ascii="Times New Roman" w:hAnsi="Times New Roman" w:cs="Times New Roman"/>
          <w:sz w:val="24"/>
          <w:lang w:val="en-IN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000433">
        <w:rPr>
          <w:rFonts w:ascii="Times New Roman" w:hAnsi="Times New Roman" w:cs="Times New Roman"/>
          <w:b/>
          <w:sz w:val="24"/>
        </w:rPr>
        <w:t xml:space="preserve">stract </w:t>
      </w:r>
    </w:p>
    <w:p w:rsidR="00DF04E3" w:rsidRPr="00860CF4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4"/>
          <w:szCs w:val="2"/>
        </w:rPr>
      </w:pPr>
    </w:p>
    <w:p w:rsidR="00000433" w:rsidRPr="00B77D2F" w:rsidRDefault="00860CF4" w:rsidP="00000433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2752090</wp:posOffset>
            </wp:positionH>
            <wp:positionV relativeFrom="margin">
              <wp:posOffset>5542280</wp:posOffset>
            </wp:positionV>
            <wp:extent cx="2976880" cy="1708150"/>
            <wp:effectExtent l="19050" t="19050" r="13970" b="25400"/>
            <wp:wrapSquare wrapText="bothSides"/>
            <wp:docPr id="4" name="Picture 3" descr="F:\Dr.Khaled\Saad soliman\Manuscript\J Adv Parasitol\Figur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r.Khaled\Saad soliman\Manuscript\J Adv Parasitol\Figure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880" cy="1708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3435350</wp:posOffset>
            </wp:positionH>
            <wp:positionV relativeFrom="margin">
              <wp:posOffset>3413125</wp:posOffset>
            </wp:positionV>
            <wp:extent cx="2271395" cy="2049780"/>
            <wp:effectExtent l="19050" t="19050" r="14605" b="26670"/>
            <wp:wrapSquare wrapText="bothSides"/>
            <wp:docPr id="3" name="Picture 2" descr="F:\Dr.Khaled\Saad soliman\Manuscript\J Adv Parasitol\Figur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r.Khaled\Saad soliman\Manuscript\J Adv Parasitol\Figure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2049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0433">
        <w:rPr>
          <w:rFonts w:asciiTheme="majorBidi" w:hAnsiTheme="majorBidi" w:cstheme="majorBidi"/>
        </w:rPr>
        <w:t xml:space="preserve">Bovine theileriosis is a global tick-borne disease and it has emerged as one of the major constraints affecting livestock production in Egypt. The disease is caused by the hemoparasite, </w:t>
      </w:r>
      <w:r w:rsidR="00000433" w:rsidRPr="00F634CB">
        <w:rPr>
          <w:rFonts w:asciiTheme="majorBidi" w:hAnsiTheme="majorBidi" w:cstheme="majorBidi"/>
          <w:i/>
          <w:iCs/>
        </w:rPr>
        <w:t>Theileria</w:t>
      </w:r>
      <w:r w:rsidR="00000433">
        <w:rPr>
          <w:rFonts w:asciiTheme="majorBidi" w:hAnsiTheme="majorBidi" w:cstheme="majorBidi"/>
          <w:i/>
          <w:iCs/>
        </w:rPr>
        <w:t xml:space="preserve"> </w:t>
      </w:r>
      <w:r w:rsidR="00000433" w:rsidRPr="00F634CB">
        <w:rPr>
          <w:rFonts w:asciiTheme="majorBidi" w:hAnsiTheme="majorBidi" w:cstheme="majorBidi"/>
          <w:i/>
          <w:iCs/>
        </w:rPr>
        <w:t>annulata</w:t>
      </w:r>
      <w:r w:rsidR="00000433">
        <w:rPr>
          <w:rFonts w:asciiTheme="majorBidi" w:hAnsiTheme="majorBidi" w:cstheme="majorBidi"/>
        </w:rPr>
        <w:t xml:space="preserve">, which is transmitted by the tick vector, </w:t>
      </w:r>
      <w:r w:rsidR="00000433" w:rsidRPr="00C00A6D">
        <w:rPr>
          <w:rFonts w:asciiTheme="majorBidi" w:hAnsiTheme="majorBidi" w:cstheme="majorBidi"/>
          <w:i/>
          <w:iCs/>
        </w:rPr>
        <w:t>Hyalomma</w:t>
      </w:r>
      <w:r w:rsidR="00000433">
        <w:rPr>
          <w:rFonts w:asciiTheme="majorBidi" w:hAnsiTheme="majorBidi" w:cstheme="majorBidi"/>
        </w:rPr>
        <w:t xml:space="preserve"> species. </w:t>
      </w:r>
      <w:r w:rsidR="00000433" w:rsidRPr="009F1601">
        <w:rPr>
          <w:rFonts w:asciiTheme="majorBidi" w:hAnsiTheme="majorBidi" w:cstheme="majorBidi"/>
          <w:color w:val="000000"/>
        </w:rPr>
        <w:t xml:space="preserve">A total of 376 Egyptian female </w:t>
      </w:r>
      <w:r w:rsidR="00000433" w:rsidRPr="009F1601">
        <w:rPr>
          <w:rFonts w:asciiTheme="majorBidi" w:hAnsiTheme="majorBidi" w:cstheme="majorBidi"/>
          <w:color w:val="000000" w:themeColor="text1"/>
        </w:rPr>
        <w:t>Balady-Friesian cross</w:t>
      </w:r>
      <w:r w:rsidR="00000433" w:rsidRPr="009F1601">
        <w:rPr>
          <w:rFonts w:asciiTheme="majorBidi" w:hAnsiTheme="majorBidi" w:cstheme="majorBidi"/>
          <w:color w:val="000000"/>
        </w:rPr>
        <w:t xml:space="preserve"> cattle</w:t>
      </w:r>
      <w:r w:rsidR="00000433">
        <w:rPr>
          <w:rFonts w:asciiTheme="majorBidi" w:hAnsiTheme="majorBidi" w:cstheme="majorBidi"/>
          <w:color w:val="000000"/>
        </w:rPr>
        <w:t xml:space="preserve"> were randomly selected in </w:t>
      </w:r>
      <w:r w:rsidR="00000433" w:rsidRPr="009F1601">
        <w:rPr>
          <w:rFonts w:asciiTheme="majorBidi" w:hAnsiTheme="majorBidi" w:cstheme="majorBidi"/>
          <w:color w:val="000000"/>
        </w:rPr>
        <w:t>El-Wadi El-Gadid province</w:t>
      </w:r>
      <w:r w:rsidR="00000433">
        <w:rPr>
          <w:rFonts w:asciiTheme="majorBidi" w:hAnsiTheme="majorBidi" w:cstheme="majorBidi"/>
          <w:color w:val="000000"/>
        </w:rPr>
        <w:t>, Egypt and</w:t>
      </w:r>
      <w:r w:rsidR="00000433" w:rsidRPr="009F1601">
        <w:rPr>
          <w:rFonts w:asciiTheme="majorBidi" w:hAnsiTheme="majorBidi" w:cstheme="majorBidi"/>
          <w:color w:val="000000"/>
        </w:rPr>
        <w:t xml:space="preserve"> </w:t>
      </w:r>
      <w:r w:rsidR="00000433">
        <w:rPr>
          <w:rFonts w:asciiTheme="majorBidi" w:hAnsiTheme="majorBidi" w:cstheme="majorBidi"/>
          <w:color w:val="000000"/>
        </w:rPr>
        <w:t xml:space="preserve">were examined using direct microscopy of Giemsa-stained blood smears and PCR-dependant molecular identification using a </w:t>
      </w:r>
      <w:r w:rsidR="00000433" w:rsidRPr="001655D5">
        <w:rPr>
          <w:rFonts w:asciiTheme="majorBidi" w:hAnsiTheme="majorBidi" w:cstheme="majorBidi"/>
          <w:i/>
          <w:iCs/>
          <w:color w:val="000000"/>
        </w:rPr>
        <w:t>Theileria annulata</w:t>
      </w:r>
      <w:r w:rsidR="00000433">
        <w:rPr>
          <w:rFonts w:asciiTheme="majorBidi" w:hAnsiTheme="majorBidi" w:cstheme="majorBidi"/>
          <w:color w:val="000000"/>
        </w:rPr>
        <w:t>-specific primer</w:t>
      </w:r>
      <w:r w:rsidR="00000433">
        <w:rPr>
          <w:rFonts w:asciiTheme="majorBidi" w:hAnsiTheme="majorBidi" w:cstheme="majorBidi"/>
        </w:rPr>
        <w:t>,</w:t>
      </w:r>
      <w:r w:rsidR="00000433" w:rsidRPr="00C50E7F">
        <w:rPr>
          <w:rFonts w:asciiTheme="majorBidi" w:hAnsiTheme="majorBidi" w:cstheme="majorBidi"/>
        </w:rPr>
        <w:t xml:space="preserve"> </w:t>
      </w:r>
      <w:r w:rsidR="00000433" w:rsidRPr="00C50E7F">
        <w:rPr>
          <w:lang w:bidi="ar-EG"/>
        </w:rPr>
        <w:t>Cytob1</w:t>
      </w:r>
      <w:r w:rsidR="00000433">
        <w:rPr>
          <w:lang w:bidi="ar-EG"/>
        </w:rPr>
        <w:t>,</w:t>
      </w:r>
      <w:r w:rsidR="00000433" w:rsidRPr="00C50E7F">
        <w:rPr>
          <w:lang w:bidi="ar-EG"/>
        </w:rPr>
        <w:t xml:space="preserve"> </w:t>
      </w:r>
      <w:r w:rsidR="00000433" w:rsidRPr="009F1601">
        <w:rPr>
          <w:lang w:bidi="ar-EG"/>
        </w:rPr>
        <w:t xml:space="preserve">targeting the amplicon of 312 bp of the </w:t>
      </w:r>
      <w:r w:rsidR="00000433">
        <w:rPr>
          <w:lang w:bidi="ar-EG"/>
        </w:rPr>
        <w:t xml:space="preserve">mitochondrial </w:t>
      </w:r>
      <w:r w:rsidR="00000433" w:rsidRPr="009F1601">
        <w:rPr>
          <w:lang w:bidi="ar-EG"/>
        </w:rPr>
        <w:t>cytochrome b gene</w:t>
      </w:r>
      <w:r w:rsidR="00000433">
        <w:rPr>
          <w:lang w:bidi="ar-EG"/>
        </w:rPr>
        <w:t xml:space="preserve">. </w:t>
      </w:r>
      <w:r w:rsidR="00000433">
        <w:rPr>
          <w:rFonts w:asciiTheme="majorBidi" w:hAnsiTheme="majorBidi" w:cstheme="majorBidi"/>
        </w:rPr>
        <w:t xml:space="preserve">It has been found that </w:t>
      </w:r>
      <w:r w:rsidR="00000433" w:rsidRPr="00E5600B">
        <w:rPr>
          <w:rFonts w:asciiTheme="majorBidi" w:hAnsiTheme="majorBidi" w:cstheme="majorBidi"/>
        </w:rPr>
        <w:t>102 (27.13%) animals had clinical symptoms of theileriosis, predominantly enlargement of superficial lymph nodes and</w:t>
      </w:r>
      <w:r w:rsidR="00000433" w:rsidRPr="00E5600B">
        <w:rPr>
          <w:rFonts w:asciiTheme="majorBidi" w:hAnsiTheme="majorBidi" w:cstheme="majorBidi"/>
          <w:color w:val="000000"/>
        </w:rPr>
        <w:t xml:space="preserve"> a sustainable high fever (40-42°C), anorexia, loss of generalized conditions, lacrimation, corneal affections, ocuo-nasal discharge, dyspnea and diarrhea</w:t>
      </w:r>
      <w:r w:rsidR="00000433" w:rsidRPr="00E5600B">
        <w:rPr>
          <w:rFonts w:asciiTheme="majorBidi" w:hAnsiTheme="majorBidi" w:cstheme="majorBidi"/>
        </w:rPr>
        <w:t xml:space="preserve">. Light microscopy of Giemsa-stained blood smears revealed that 35 (9.31%) of examined animals showed the presence of intra-lymphocytic and/or intra-erythrocytic stages of </w:t>
      </w:r>
      <w:r w:rsidR="00000433" w:rsidRPr="00E5600B">
        <w:rPr>
          <w:rFonts w:asciiTheme="majorBidi" w:hAnsiTheme="majorBidi" w:cstheme="majorBidi"/>
          <w:i/>
          <w:iCs/>
        </w:rPr>
        <w:t>Theileria</w:t>
      </w:r>
      <w:r w:rsidR="00000433" w:rsidRPr="00E5600B">
        <w:rPr>
          <w:rFonts w:asciiTheme="majorBidi" w:hAnsiTheme="majorBidi" w:cstheme="majorBidi"/>
        </w:rPr>
        <w:t xml:space="preserve"> organisms. Various</w:t>
      </w:r>
      <w:r w:rsidR="00000433" w:rsidRPr="00E5600B">
        <w:rPr>
          <w:rFonts w:asciiTheme="majorBidi" w:hAnsiTheme="majorBidi" w:cstheme="majorBidi"/>
          <w:i/>
          <w:iCs/>
        </w:rPr>
        <w:t xml:space="preserve"> Theileria </w:t>
      </w:r>
      <w:r w:rsidR="00000433" w:rsidRPr="00E5600B">
        <w:rPr>
          <w:rFonts w:asciiTheme="majorBidi" w:hAnsiTheme="majorBidi" w:cstheme="majorBidi"/>
        </w:rPr>
        <w:t xml:space="preserve">stages; macroschizonts, microschizonts and merozoites were demonstrated in blood smears. </w:t>
      </w:r>
      <w:r w:rsidR="00000433" w:rsidRPr="00304DD7">
        <w:rPr>
          <w:rFonts w:asciiTheme="majorBidi" w:hAnsiTheme="majorBidi" w:cstheme="majorBidi"/>
        </w:rPr>
        <w:t>Application of PCR elucidated that 11.44% (43/376)</w:t>
      </w:r>
      <w:r w:rsidR="00000433" w:rsidRPr="00304DD7">
        <w:rPr>
          <w:lang w:bidi="ar-EG"/>
        </w:rPr>
        <w:t xml:space="preserve"> </w:t>
      </w:r>
      <w:r w:rsidR="00000433" w:rsidRPr="00304DD7">
        <w:rPr>
          <w:rFonts w:asciiTheme="majorBidi" w:hAnsiTheme="majorBidi" w:cstheme="majorBidi"/>
        </w:rPr>
        <w:t xml:space="preserve">animals had theileriosis indicated by the appearance of specific diagnostic bands. Most of clinically-positive animals and all those positive by the use of direct microscopy and PCR are associated with the existence of ticks vector. </w:t>
      </w:r>
      <w:r w:rsidR="00000433" w:rsidRPr="00000433">
        <w:rPr>
          <w:rFonts w:asciiTheme="majorBidi" w:hAnsiTheme="majorBidi" w:cstheme="majorBidi"/>
        </w:rPr>
        <w:t>In conclusion,</w:t>
      </w:r>
      <w:r w:rsidR="00000433" w:rsidRPr="009F1601">
        <w:rPr>
          <w:rFonts w:asciiTheme="majorBidi" w:hAnsiTheme="majorBidi" w:cstheme="majorBidi"/>
        </w:rPr>
        <w:t xml:space="preserve"> </w:t>
      </w:r>
      <w:r w:rsidR="00000433">
        <w:rPr>
          <w:rFonts w:asciiTheme="majorBidi" w:hAnsiTheme="majorBidi" w:cstheme="majorBidi"/>
        </w:rPr>
        <w:t>T</w:t>
      </w:r>
      <w:r w:rsidR="00000433" w:rsidRPr="009F1601">
        <w:rPr>
          <w:rFonts w:asciiTheme="majorBidi" w:hAnsiTheme="majorBidi" w:cstheme="majorBidi"/>
        </w:rPr>
        <w:t xml:space="preserve">he present work revealed the prevalence of bovine theileriosis in </w:t>
      </w:r>
      <w:r w:rsidR="00000433" w:rsidRPr="009F1601">
        <w:rPr>
          <w:rFonts w:asciiTheme="majorBidi" w:hAnsiTheme="majorBidi" w:cstheme="majorBidi"/>
          <w:color w:val="000000"/>
        </w:rPr>
        <w:t>El-Wadi El-Gadid, Egypt using direct microscopy of Giemsa-</w:t>
      </w:r>
      <w:r w:rsidR="00000433" w:rsidRPr="009F1601">
        <w:rPr>
          <w:rFonts w:asciiTheme="majorBidi" w:hAnsiTheme="majorBidi" w:cstheme="majorBidi"/>
        </w:rPr>
        <w:t>stained blood smears (</w:t>
      </w:r>
      <w:r w:rsidR="00000433">
        <w:rPr>
          <w:rFonts w:asciiTheme="majorBidi" w:hAnsiTheme="majorBidi" w:cstheme="majorBidi"/>
        </w:rPr>
        <w:t>9.31</w:t>
      </w:r>
      <w:r w:rsidR="00000433" w:rsidRPr="009F1601">
        <w:rPr>
          <w:rFonts w:asciiTheme="majorBidi" w:hAnsiTheme="majorBidi" w:cstheme="majorBidi"/>
        </w:rPr>
        <w:t>%) and PCR (</w:t>
      </w:r>
      <w:r w:rsidR="00000433">
        <w:rPr>
          <w:rFonts w:asciiTheme="majorBidi" w:hAnsiTheme="majorBidi" w:cstheme="majorBidi"/>
        </w:rPr>
        <w:t>11.44</w:t>
      </w:r>
      <w:r w:rsidR="00000433" w:rsidRPr="009F1601">
        <w:rPr>
          <w:rFonts w:asciiTheme="majorBidi" w:hAnsiTheme="majorBidi" w:cstheme="majorBidi"/>
        </w:rPr>
        <w:t>%). To reduce economic losses induced in cattle due to</w:t>
      </w:r>
      <w:r w:rsidR="00000433" w:rsidRPr="00B77D2F">
        <w:rPr>
          <w:rFonts w:asciiTheme="majorBidi" w:hAnsiTheme="majorBidi" w:cstheme="majorBidi"/>
        </w:rPr>
        <w:t xml:space="preserve"> theileriosis, a considerable attention and veterinary care are mandatory to be done by authorities and veterinarians through elimination of the tick vectors and frequent treatment of infected animals. </w:t>
      </w:r>
    </w:p>
    <w:p w:rsidR="002350BC" w:rsidRPr="00000433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DF04E3" w:rsidRPr="00860CF4" w:rsidRDefault="0028059F" w:rsidP="007C7E6F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lang w:val="en-US"/>
        </w:rPr>
      </w:pPr>
      <w:r w:rsidRPr="00C9489D">
        <w:rPr>
          <w:rFonts w:ascii="Times New Roman" w:hAnsi="Times New Roman" w:cs="Times New Roman"/>
          <w:b/>
          <w:bCs/>
          <w:sz w:val="24"/>
        </w:rPr>
        <w:t>Keywords</w:t>
      </w:r>
      <w:r w:rsidRPr="0028059F">
        <w:rPr>
          <w:rFonts w:ascii="Times New Roman" w:hAnsi="Times New Roman" w:cs="Times New Roman"/>
          <w:i/>
          <w:sz w:val="24"/>
        </w:rPr>
        <w:t xml:space="preserve"> </w:t>
      </w:r>
      <w:r w:rsidR="00C9489D">
        <w:rPr>
          <w:rFonts w:asciiTheme="majorBidi" w:eastAsiaTheme="minorHAnsi" w:hAnsiTheme="majorBidi" w:cstheme="majorBidi"/>
        </w:rPr>
        <w:t>Cattle,</w:t>
      </w:r>
      <w:r w:rsidR="00C9489D">
        <w:rPr>
          <w:rFonts w:asciiTheme="majorBidi" w:eastAsiaTheme="minorHAnsi" w:hAnsiTheme="majorBidi" w:cstheme="majorBidi"/>
          <w:i/>
          <w:iCs/>
        </w:rPr>
        <w:t xml:space="preserve"> </w:t>
      </w:r>
      <w:r w:rsidR="00C9489D" w:rsidRPr="001A6D97">
        <w:rPr>
          <w:rFonts w:asciiTheme="majorBidi" w:eastAsiaTheme="minorHAnsi" w:hAnsiTheme="majorBidi" w:cstheme="majorBidi"/>
          <w:i/>
          <w:iCs/>
        </w:rPr>
        <w:t>Theileria</w:t>
      </w:r>
      <w:r w:rsidR="00C9489D">
        <w:rPr>
          <w:rFonts w:asciiTheme="majorBidi" w:eastAsiaTheme="minorHAnsi" w:hAnsiTheme="majorBidi" w:cstheme="majorBidi"/>
          <w:i/>
          <w:iCs/>
        </w:rPr>
        <w:t xml:space="preserve"> </w:t>
      </w:r>
      <w:r w:rsidR="00C9489D" w:rsidRPr="001A6D97">
        <w:rPr>
          <w:rFonts w:asciiTheme="majorBidi" w:eastAsiaTheme="minorHAnsi" w:hAnsiTheme="majorBidi" w:cstheme="majorBidi"/>
          <w:i/>
          <w:iCs/>
        </w:rPr>
        <w:t>annulata</w:t>
      </w:r>
      <w:r w:rsidR="00C9489D">
        <w:rPr>
          <w:rFonts w:asciiTheme="majorBidi" w:eastAsiaTheme="minorHAnsi" w:hAnsiTheme="majorBidi" w:cstheme="majorBidi"/>
        </w:rPr>
        <w:t>, PCR, Egypt.</w:t>
      </w:r>
    </w:p>
    <w:p w:rsidR="00860CF4" w:rsidRDefault="00860CF4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116476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846028" w:rsidP="0011647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Khaled Mohamed El-Dakhly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3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Beni-Suef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>, Beni-Suef 62511, Egypt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</w:t>
      </w:r>
      <w:r>
        <w:rPr>
          <w:rFonts w:ascii="Times New Roman" w:hAnsi="Times New Roman" w:cs="Times New Roman"/>
          <w:iCs/>
          <w:sz w:val="24"/>
        </w:rPr>
        <w:t>act as a foreign researcher in Gifu University, Japan during the period from April 2010 to September 2013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>Currently, h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e is </w:t>
      </w:r>
      <w:r>
        <w:rPr>
          <w:rFonts w:ascii="Times New Roman" w:hAnsi="Times New Roman" w:cs="Times New Roman"/>
          <w:iCs/>
          <w:sz w:val="24"/>
        </w:rPr>
        <w:t>a Professor and Chairman of Parasitology, Faculty of Veterinary Medicine, Beni-Suef University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has published more than </w:t>
      </w:r>
      <w:r w:rsidR="00116476">
        <w:rPr>
          <w:rFonts w:ascii="Times New Roman" w:hAnsi="Times New Roman" w:cs="Times New Roman"/>
          <w:iCs/>
          <w:sz w:val="24"/>
        </w:rPr>
        <w:t>42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116476">
        <w:rPr>
          <w:rFonts w:ascii="Times New Roman" w:hAnsi="Times New Roman" w:cs="Times New Roman"/>
          <w:iCs/>
          <w:sz w:val="24"/>
        </w:rPr>
        <w:t>articles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in reputed journals and has been serving as an editorial board member</w:t>
      </w:r>
      <w:r w:rsidR="00116476">
        <w:rPr>
          <w:rFonts w:ascii="Times New Roman" w:hAnsi="Times New Roman" w:cs="Times New Roman"/>
          <w:iCs/>
          <w:sz w:val="24"/>
        </w:rPr>
        <w:t xml:space="preserve"> and/or reviewer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116476">
        <w:rPr>
          <w:rFonts w:ascii="Times New Roman" w:hAnsi="Times New Roman" w:cs="Times New Roman"/>
          <w:iCs/>
          <w:sz w:val="24"/>
        </w:rPr>
        <w:t>of several journals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  <w:r w:rsidR="006D4EF2">
        <w:rPr>
          <w:rFonts w:ascii="Times New Roman" w:hAnsi="Times New Roman" w:cs="Times New Roman"/>
          <w:iCs/>
          <w:sz w:val="24"/>
        </w:rPr>
        <w:t xml:space="preserve"> He attended a lot of international conferences and exhibitions. </w:t>
      </w:r>
      <w:r w:rsidR="00040542">
        <w:rPr>
          <w:rFonts w:ascii="Times New Roman" w:hAnsi="Times New Roman" w:cs="Times New Roman"/>
          <w:iCs/>
          <w:sz w:val="24"/>
        </w:rPr>
        <w:t xml:space="preserve">He has a great experience in presentations of several lectures about scientific writing and publication.  </w:t>
      </w:r>
    </w:p>
    <w:p w:rsidR="00B3082B" w:rsidRDefault="00040542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48895</wp:posOffset>
            </wp:positionH>
            <wp:positionV relativeFrom="margin">
              <wp:posOffset>1835150</wp:posOffset>
            </wp:positionV>
            <wp:extent cx="1246505" cy="1657350"/>
            <wp:effectExtent l="19050" t="0" r="0" b="0"/>
            <wp:wrapSquare wrapText="bothSides"/>
            <wp:docPr id="6" name="Picture 4" descr="F:\Dr.Khaled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r.Khaled\pho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557D14" w:rsidRDefault="00557D14" w:rsidP="00B3082B">
      <w:pPr>
        <w:pStyle w:val="HTMLPreformatted"/>
        <w:jc w:val="both"/>
        <w:rPr>
          <w:noProof/>
          <w:lang w:val="en-US"/>
        </w:rPr>
      </w:pPr>
    </w:p>
    <w:p w:rsidR="00557D14" w:rsidRDefault="00557D14" w:rsidP="00B3082B">
      <w:pPr>
        <w:pStyle w:val="HTMLPreformatted"/>
        <w:jc w:val="both"/>
        <w:rPr>
          <w:noProof/>
          <w:lang w:val="en-US"/>
        </w:rPr>
      </w:pPr>
    </w:p>
    <w:p w:rsidR="00557D14" w:rsidRDefault="00557D14" w:rsidP="00B3082B">
      <w:pPr>
        <w:pStyle w:val="HTMLPreformatted"/>
        <w:jc w:val="both"/>
        <w:rPr>
          <w:noProof/>
          <w:lang w:val="en-US"/>
        </w:rPr>
      </w:pPr>
    </w:p>
    <w:p w:rsidR="00557D14" w:rsidRDefault="00557D14" w:rsidP="00B3082B">
      <w:pPr>
        <w:pStyle w:val="HTMLPreformatted"/>
        <w:jc w:val="both"/>
        <w:rPr>
          <w:noProof/>
          <w:lang w:val="en-US"/>
        </w:rPr>
      </w:pPr>
    </w:p>
    <w:p w:rsidR="00557D14" w:rsidRDefault="00B3082B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557D14" w:rsidRDefault="00557D14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46028" w:rsidRDefault="00846028" w:rsidP="00557D14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846028" w:rsidRDefault="00846028" w:rsidP="00557D14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B3082B" w:rsidRPr="00DF04E3" w:rsidRDefault="00557D14" w:rsidP="00557D14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Email ID</w:t>
      </w:r>
      <w:r w:rsidR="00B3082B" w:rsidRPr="00B6703B">
        <w:rPr>
          <w:rFonts w:ascii="Times New Roman" w:hAnsi="Times New Roman" w:cs="Times New Roman"/>
          <w:iCs/>
          <w:sz w:val="24"/>
        </w:rPr>
        <w:t>:</w:t>
      </w:r>
    </w:p>
    <w:p w:rsidR="00DF04E3" w:rsidRDefault="00557D14" w:rsidP="00557D1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0" w:history="1">
        <w:r w:rsidRPr="00F85C37">
          <w:rPr>
            <w:rStyle w:val="Hyperlink"/>
            <w:rFonts w:ascii="Times New Roman" w:hAnsi="Times New Roman" w:cs="Times New Roman"/>
            <w:b/>
            <w:sz w:val="24"/>
            <w:szCs w:val="24"/>
          </w:rPr>
          <w:t>eldakley_s71@yahoo.com</w:t>
        </w:r>
      </w:hyperlink>
    </w:p>
    <w:p w:rsidR="00557D14" w:rsidRDefault="00557D14" w:rsidP="00557D1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Pr="00F85C37">
          <w:rPr>
            <w:rStyle w:val="Hyperlink"/>
            <w:rFonts w:ascii="Times New Roman" w:hAnsi="Times New Roman" w:cs="Times New Roman"/>
            <w:b/>
            <w:sz w:val="24"/>
            <w:szCs w:val="24"/>
          </w:rPr>
          <w:t>eldakley_s71@bsu.vet.edu.eg</w:t>
        </w:r>
      </w:hyperlink>
    </w:p>
    <w:p w:rsidR="00557D14" w:rsidRDefault="00557D14" w:rsidP="00557D1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7D14" w:rsidRDefault="00557D14" w:rsidP="00557D1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557D14" w:rsidRDefault="00557D14" w:rsidP="002350B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This abstract is now included in a research article under consideration of publication in a certain journal. </w:t>
      </w:r>
    </w:p>
    <w:p w:rsidR="00557D14" w:rsidRPr="00557D14" w:rsidRDefault="00557D14" w:rsidP="002350BC">
      <w:pPr>
        <w:rPr>
          <w:rFonts w:ascii="Times New Roman" w:hAnsi="Times New Roman" w:cs="Times New Roman"/>
          <w:bCs/>
          <w:sz w:val="24"/>
          <w:szCs w:val="24"/>
        </w:rPr>
      </w:pPr>
      <w:r w:rsidRPr="00557D14">
        <w:rPr>
          <w:rFonts w:ascii="Times New Roman" w:hAnsi="Times New Roman" w:cs="Times New Roman"/>
          <w:bCs/>
          <w:sz w:val="24"/>
          <w:szCs w:val="24"/>
        </w:rPr>
        <w:t>Thank you</w:t>
      </w:r>
    </w:p>
    <w:sectPr w:rsidR="00557D14" w:rsidRPr="00557D14" w:rsidSect="002F2F36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F9A" w:rsidRDefault="00A44F9A" w:rsidP="00495C76">
      <w:pPr>
        <w:spacing w:after="0" w:line="240" w:lineRule="auto"/>
      </w:pPr>
      <w:r>
        <w:separator/>
      </w:r>
    </w:p>
  </w:endnote>
  <w:endnote w:type="continuationSeparator" w:id="1">
    <w:p w:rsidR="00A44F9A" w:rsidRDefault="00A44F9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F9A" w:rsidRDefault="00A44F9A" w:rsidP="00495C76">
      <w:pPr>
        <w:spacing w:after="0" w:line="240" w:lineRule="auto"/>
      </w:pPr>
      <w:r>
        <w:separator/>
      </w:r>
    </w:p>
  </w:footnote>
  <w:footnote w:type="continuationSeparator" w:id="1">
    <w:p w:rsidR="00A44F9A" w:rsidRDefault="00A44F9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00433"/>
    <w:rsid w:val="00040542"/>
    <w:rsid w:val="000A4C22"/>
    <w:rsid w:val="00116476"/>
    <w:rsid w:val="002350BC"/>
    <w:rsid w:val="002734F6"/>
    <w:rsid w:val="0028059F"/>
    <w:rsid w:val="002F2F36"/>
    <w:rsid w:val="002F4DF0"/>
    <w:rsid w:val="00333E31"/>
    <w:rsid w:val="0038483D"/>
    <w:rsid w:val="00435234"/>
    <w:rsid w:val="00466970"/>
    <w:rsid w:val="00495C76"/>
    <w:rsid w:val="00543041"/>
    <w:rsid w:val="00557D14"/>
    <w:rsid w:val="005C1EF8"/>
    <w:rsid w:val="00627419"/>
    <w:rsid w:val="006C057D"/>
    <w:rsid w:val="006D4EF2"/>
    <w:rsid w:val="0072240A"/>
    <w:rsid w:val="007C7E6F"/>
    <w:rsid w:val="00846028"/>
    <w:rsid w:val="00860CF4"/>
    <w:rsid w:val="00A00A73"/>
    <w:rsid w:val="00A44F9A"/>
    <w:rsid w:val="00AB42CF"/>
    <w:rsid w:val="00B3082B"/>
    <w:rsid w:val="00B6703B"/>
    <w:rsid w:val="00BA654F"/>
    <w:rsid w:val="00C9489D"/>
    <w:rsid w:val="00CE511D"/>
    <w:rsid w:val="00D53C06"/>
    <w:rsid w:val="00DF04E3"/>
    <w:rsid w:val="00EC2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F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557D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eldakley_s71@bsu.vet.edu.eg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mailto:eldakley_s71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AEF87-42A1-4ADB-B016-14D56D9B0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dell</cp:lastModifiedBy>
  <cp:revision>15</cp:revision>
  <dcterms:created xsi:type="dcterms:W3CDTF">2018-05-05T08:10:00Z</dcterms:created>
  <dcterms:modified xsi:type="dcterms:W3CDTF">2018-05-06T07:14:00Z</dcterms:modified>
</cp:coreProperties>
</file>