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6B6" w:rsidRDefault="00BD16B6" w:rsidP="00BD16B6">
      <w:pPr>
        <w:jc w:val="both"/>
      </w:pPr>
      <w:r w:rsidRPr="00BD16B6">
        <w:rPr>
          <w:b/>
        </w:rPr>
        <w:t>Title:</w:t>
      </w:r>
      <w:r>
        <w:t xml:space="preserve"> </w:t>
      </w:r>
      <w:r w:rsidRPr="00090BAC">
        <w:t>DEVELOPMENT OF HUMANISED 3D LIVER METASTASIS OF PANCREATIC ORIGIN: THE ROLE OF TISSUE-SPECIFIC EXTRACELLULAR MATRIX IN TUMOR PROGRESSION AND CHEMORESISTANCE</w:t>
      </w:r>
    </w:p>
    <w:p w:rsidR="00BD16B6" w:rsidRPr="00BD16B6" w:rsidRDefault="00BD16B6" w:rsidP="00BD16B6">
      <w:pPr>
        <w:autoSpaceDE w:val="0"/>
        <w:autoSpaceDN w:val="0"/>
        <w:adjustRightInd w:val="0"/>
        <w:spacing w:after="0" w:line="240" w:lineRule="auto"/>
        <w:jc w:val="both"/>
        <w:rPr>
          <w:rFonts w:cs="Arial"/>
          <w:vertAlign w:val="superscript"/>
          <w:lang w:val="en-US"/>
        </w:rPr>
      </w:pPr>
      <w:r w:rsidRPr="00BD16B6">
        <w:rPr>
          <w:rFonts w:cs="Arial"/>
          <w:b/>
        </w:rPr>
        <w:t>Authors</w:t>
      </w:r>
      <w:r w:rsidRPr="00BD16B6">
        <w:rPr>
          <w:rFonts w:cs="Arial"/>
        </w:rPr>
        <w:t xml:space="preserve">: </w:t>
      </w:r>
      <w:r w:rsidRPr="00BD16B6">
        <w:rPr>
          <w:rFonts w:cs="Arial"/>
          <w:lang w:val="en-US"/>
        </w:rPr>
        <w:t>Al-Akkad W</w:t>
      </w:r>
      <w:r w:rsidRPr="00BD16B6">
        <w:rPr>
          <w:rFonts w:cs="Arial"/>
          <w:vertAlign w:val="superscript"/>
          <w:lang w:val="en-US"/>
        </w:rPr>
        <w:t>1</w:t>
      </w:r>
      <w:r w:rsidRPr="00BD16B6">
        <w:rPr>
          <w:rFonts w:cs="Arial"/>
          <w:lang w:val="en-US"/>
        </w:rPr>
        <w:t xml:space="preserve">, </w:t>
      </w:r>
      <w:proofErr w:type="spellStart"/>
      <w:r w:rsidRPr="00BD16B6">
        <w:rPr>
          <w:rFonts w:cs="Arial"/>
          <w:lang w:val="en-US"/>
        </w:rPr>
        <w:t>Nuñez</w:t>
      </w:r>
      <w:proofErr w:type="spellEnd"/>
      <w:r w:rsidRPr="00BD16B6">
        <w:rPr>
          <w:rFonts w:cs="Arial"/>
          <w:lang w:val="en-US"/>
        </w:rPr>
        <w:t xml:space="preserve"> P</w:t>
      </w:r>
      <w:r w:rsidRPr="00BD16B6">
        <w:rPr>
          <w:rFonts w:cs="Arial"/>
          <w:vertAlign w:val="superscript"/>
          <w:lang w:val="en-US"/>
        </w:rPr>
        <w:t>1</w:t>
      </w:r>
      <w:r w:rsidRPr="00BD16B6">
        <w:rPr>
          <w:rFonts w:cs="Arial"/>
          <w:lang w:val="en-US"/>
        </w:rPr>
        <w:t xml:space="preserve">, </w:t>
      </w:r>
      <w:proofErr w:type="spellStart"/>
      <w:r w:rsidRPr="00BD16B6">
        <w:rPr>
          <w:rFonts w:cs="Arial"/>
          <w:lang w:val="en-US"/>
        </w:rPr>
        <w:t>Tamburrino</w:t>
      </w:r>
      <w:proofErr w:type="spellEnd"/>
      <w:r w:rsidRPr="00BD16B6">
        <w:rPr>
          <w:rFonts w:cs="Arial"/>
          <w:lang w:val="en-US"/>
        </w:rPr>
        <w:t xml:space="preserve"> D</w:t>
      </w:r>
      <w:r w:rsidRPr="00BD16B6">
        <w:rPr>
          <w:rFonts w:cs="Arial"/>
          <w:vertAlign w:val="superscript"/>
          <w:lang w:val="en-US"/>
        </w:rPr>
        <w:t>2</w:t>
      </w:r>
      <w:r w:rsidRPr="00BD16B6">
        <w:rPr>
          <w:rFonts w:cs="Arial"/>
          <w:lang w:val="en-US"/>
        </w:rPr>
        <w:t xml:space="preserve">, </w:t>
      </w:r>
      <w:proofErr w:type="spellStart"/>
      <w:r w:rsidRPr="00BD16B6">
        <w:rPr>
          <w:rFonts w:cs="Arial"/>
          <w:lang w:val="en-US"/>
        </w:rPr>
        <w:t>Frenguelli</w:t>
      </w:r>
      <w:proofErr w:type="spellEnd"/>
      <w:r w:rsidRPr="00BD16B6">
        <w:rPr>
          <w:rFonts w:cs="Arial"/>
          <w:lang w:val="en-US"/>
        </w:rPr>
        <w:t xml:space="preserve"> L</w:t>
      </w:r>
      <w:r w:rsidRPr="00BD16B6">
        <w:rPr>
          <w:rFonts w:cs="Arial"/>
          <w:vertAlign w:val="superscript"/>
          <w:lang w:val="en-US"/>
        </w:rPr>
        <w:t>1</w:t>
      </w:r>
      <w:r w:rsidRPr="00BD16B6">
        <w:rPr>
          <w:rFonts w:cs="Arial"/>
          <w:lang w:val="en-US"/>
        </w:rPr>
        <w:t xml:space="preserve">, </w:t>
      </w:r>
      <w:proofErr w:type="spellStart"/>
      <w:r w:rsidRPr="00BD16B6">
        <w:rPr>
          <w:rFonts w:cs="Arial"/>
          <w:lang w:val="en-US"/>
        </w:rPr>
        <w:t>Spoletini</w:t>
      </w:r>
      <w:proofErr w:type="spellEnd"/>
      <w:r w:rsidRPr="00BD16B6">
        <w:rPr>
          <w:rFonts w:cs="Arial"/>
          <w:lang w:val="en-US"/>
        </w:rPr>
        <w:t xml:space="preserve"> G</w:t>
      </w:r>
      <w:r w:rsidRPr="00BD16B6">
        <w:rPr>
          <w:rFonts w:cs="Arial"/>
          <w:vertAlign w:val="superscript"/>
          <w:lang w:val="en-US"/>
        </w:rPr>
        <w:t>2</w:t>
      </w:r>
      <w:r w:rsidRPr="00BD16B6">
        <w:rPr>
          <w:rFonts w:cs="Arial"/>
          <w:lang w:val="en-US"/>
        </w:rPr>
        <w:t xml:space="preserve">, </w:t>
      </w:r>
      <w:proofErr w:type="spellStart"/>
      <w:r w:rsidRPr="00BD16B6">
        <w:rPr>
          <w:rFonts w:cs="Arial"/>
          <w:lang w:val="en-US"/>
        </w:rPr>
        <w:t>Vassileva</w:t>
      </w:r>
      <w:proofErr w:type="spellEnd"/>
      <w:r w:rsidRPr="00BD16B6">
        <w:rPr>
          <w:rFonts w:cs="Arial"/>
          <w:lang w:val="en-US"/>
        </w:rPr>
        <w:t xml:space="preserve"> V</w:t>
      </w:r>
      <w:r w:rsidRPr="00BD16B6">
        <w:rPr>
          <w:rFonts w:cs="Arial"/>
          <w:vertAlign w:val="superscript"/>
          <w:lang w:val="en-US"/>
        </w:rPr>
        <w:t>3</w:t>
      </w:r>
      <w:r w:rsidRPr="00BD16B6">
        <w:rPr>
          <w:rFonts w:cs="Arial"/>
          <w:lang w:val="en-US"/>
        </w:rPr>
        <w:t xml:space="preserve">, </w:t>
      </w:r>
      <w:proofErr w:type="spellStart"/>
      <w:r w:rsidRPr="00BD16B6">
        <w:rPr>
          <w:rFonts w:cs="Arial"/>
          <w:lang w:val="en-US"/>
        </w:rPr>
        <w:t>Ravikumar</w:t>
      </w:r>
      <w:proofErr w:type="spellEnd"/>
      <w:r w:rsidRPr="00BD16B6">
        <w:rPr>
          <w:rFonts w:cs="Arial"/>
          <w:lang w:val="en-US"/>
        </w:rPr>
        <w:t xml:space="preserve"> R</w:t>
      </w:r>
      <w:r w:rsidRPr="00BD16B6">
        <w:rPr>
          <w:rFonts w:cs="Arial"/>
          <w:vertAlign w:val="superscript"/>
          <w:lang w:val="en-US"/>
        </w:rPr>
        <w:t>2</w:t>
      </w:r>
      <w:r w:rsidRPr="00BD16B6">
        <w:rPr>
          <w:rFonts w:cs="Arial"/>
          <w:lang w:val="en-US"/>
        </w:rPr>
        <w:t xml:space="preserve">, </w:t>
      </w:r>
      <w:proofErr w:type="spellStart"/>
      <w:r w:rsidRPr="00BD16B6">
        <w:rPr>
          <w:rFonts w:cs="Arial"/>
          <w:lang w:val="en-US"/>
        </w:rPr>
        <w:t>Telese</w:t>
      </w:r>
      <w:proofErr w:type="spellEnd"/>
      <w:r w:rsidRPr="00BD16B6">
        <w:rPr>
          <w:rFonts w:cs="Arial"/>
          <w:lang w:val="en-US"/>
        </w:rPr>
        <w:t xml:space="preserve"> A</w:t>
      </w:r>
      <w:r w:rsidRPr="00BD16B6">
        <w:rPr>
          <w:rFonts w:cs="Arial"/>
          <w:vertAlign w:val="superscript"/>
          <w:lang w:val="en-US"/>
        </w:rPr>
        <w:t>1</w:t>
      </w:r>
      <w:r w:rsidRPr="00BD16B6">
        <w:rPr>
          <w:rFonts w:cs="Arial"/>
          <w:lang w:val="en-US"/>
        </w:rPr>
        <w:t>, Hall R A</w:t>
      </w:r>
      <w:r w:rsidRPr="00BD16B6">
        <w:rPr>
          <w:rFonts w:cs="Arial"/>
          <w:vertAlign w:val="superscript"/>
          <w:lang w:val="en-US"/>
        </w:rPr>
        <w:t>1</w:t>
      </w:r>
      <w:r w:rsidRPr="00BD16B6">
        <w:rPr>
          <w:rFonts w:cs="Arial"/>
          <w:lang w:val="en-US"/>
        </w:rPr>
        <w:t>, Pereira S</w:t>
      </w:r>
      <w:r w:rsidRPr="00BD16B6">
        <w:rPr>
          <w:rFonts w:cs="Arial"/>
          <w:vertAlign w:val="superscript"/>
          <w:lang w:val="en-US"/>
        </w:rPr>
        <w:t>1</w:t>
      </w:r>
      <w:r w:rsidRPr="00BD16B6">
        <w:rPr>
          <w:rFonts w:cs="Arial"/>
          <w:lang w:val="en-US"/>
        </w:rPr>
        <w:t xml:space="preserve"> ,  </w:t>
      </w:r>
      <w:proofErr w:type="spellStart"/>
      <w:r w:rsidRPr="00BD16B6">
        <w:rPr>
          <w:rFonts w:cs="Arial"/>
          <w:lang w:val="en-US"/>
        </w:rPr>
        <w:t>Fusai</w:t>
      </w:r>
      <w:proofErr w:type="spellEnd"/>
      <w:r w:rsidRPr="00BD16B6">
        <w:rPr>
          <w:rFonts w:cs="Arial"/>
          <w:lang w:val="en-US"/>
        </w:rPr>
        <w:t xml:space="preserve"> G</w:t>
      </w:r>
      <w:r w:rsidRPr="00BD16B6">
        <w:rPr>
          <w:rFonts w:cs="Arial"/>
          <w:vertAlign w:val="superscript"/>
          <w:lang w:val="en-US"/>
        </w:rPr>
        <w:t>2</w:t>
      </w:r>
      <w:r w:rsidRPr="00BD16B6">
        <w:rPr>
          <w:rFonts w:cs="Arial"/>
          <w:lang w:val="en-US"/>
        </w:rPr>
        <w:t>, Pinzani M</w:t>
      </w:r>
      <w:r w:rsidRPr="00BD16B6">
        <w:rPr>
          <w:rFonts w:cs="Arial"/>
          <w:vertAlign w:val="superscript"/>
          <w:lang w:val="en-US"/>
        </w:rPr>
        <w:t>1</w:t>
      </w:r>
      <w:r w:rsidRPr="00BD16B6">
        <w:rPr>
          <w:rFonts w:cs="Arial"/>
          <w:lang w:val="en-US"/>
        </w:rPr>
        <w:t xml:space="preserve">, </w:t>
      </w:r>
      <w:proofErr w:type="spellStart"/>
      <w:r w:rsidRPr="00BD16B6">
        <w:rPr>
          <w:rFonts w:cs="Arial"/>
          <w:lang w:val="en-US"/>
        </w:rPr>
        <w:t>Rombouts</w:t>
      </w:r>
      <w:proofErr w:type="spellEnd"/>
      <w:r w:rsidRPr="00BD16B6">
        <w:rPr>
          <w:rFonts w:cs="Arial"/>
          <w:lang w:val="en-US"/>
        </w:rPr>
        <w:t xml:space="preserve"> K</w:t>
      </w:r>
      <w:r w:rsidRPr="00BD16B6">
        <w:rPr>
          <w:rFonts w:cs="Arial"/>
          <w:vertAlign w:val="superscript"/>
          <w:lang w:val="en-US"/>
        </w:rPr>
        <w:t>1</w:t>
      </w:r>
      <w:r w:rsidRPr="00BD16B6">
        <w:rPr>
          <w:rFonts w:cs="Arial"/>
          <w:lang w:val="en-US"/>
        </w:rPr>
        <w:t xml:space="preserve">, </w:t>
      </w:r>
      <w:proofErr w:type="spellStart"/>
      <w:r w:rsidRPr="00BD16B6">
        <w:rPr>
          <w:rFonts w:cs="Arial"/>
          <w:lang w:val="en-US"/>
        </w:rPr>
        <w:t>Mazza</w:t>
      </w:r>
      <w:proofErr w:type="spellEnd"/>
      <w:r w:rsidRPr="00BD16B6">
        <w:rPr>
          <w:rFonts w:cs="Arial"/>
          <w:lang w:val="en-US"/>
        </w:rPr>
        <w:t xml:space="preserve"> G</w:t>
      </w:r>
      <w:r w:rsidRPr="00BD16B6">
        <w:rPr>
          <w:rFonts w:cs="Arial"/>
          <w:vertAlign w:val="superscript"/>
          <w:lang w:val="en-US"/>
        </w:rPr>
        <w:t>1</w:t>
      </w:r>
    </w:p>
    <w:p w:rsidR="00BD16B6" w:rsidRPr="00BD16B6" w:rsidRDefault="00BD16B6" w:rsidP="00BD16B6">
      <w:pPr>
        <w:pStyle w:val="ListParagraph"/>
        <w:numPr>
          <w:ilvl w:val="0"/>
          <w:numId w:val="1"/>
        </w:numPr>
        <w:shd w:val="clear" w:color="auto" w:fill="FFFFFF"/>
        <w:spacing w:before="100" w:beforeAutospacing="1" w:after="100" w:afterAutospacing="1" w:line="240" w:lineRule="auto"/>
        <w:jc w:val="both"/>
        <w:rPr>
          <w:rFonts w:eastAsia="Times New Roman" w:cs="Arial"/>
          <w:color w:val="000000"/>
          <w:lang w:eastAsia="en-GB"/>
        </w:rPr>
      </w:pPr>
      <w:r w:rsidRPr="00BD16B6">
        <w:rPr>
          <w:rFonts w:eastAsia="Times New Roman" w:cs="Arial"/>
          <w:color w:val="000000"/>
          <w:lang w:eastAsia="en-GB"/>
        </w:rPr>
        <w:t>UCL, Institute for Liver and Digestive Health, University College London, London UK.</w:t>
      </w:r>
    </w:p>
    <w:p w:rsidR="00BD16B6" w:rsidRPr="00BD16B6" w:rsidRDefault="00BD16B6" w:rsidP="00BD16B6">
      <w:pPr>
        <w:pStyle w:val="ListParagraph"/>
        <w:numPr>
          <w:ilvl w:val="0"/>
          <w:numId w:val="1"/>
        </w:numPr>
        <w:shd w:val="clear" w:color="auto" w:fill="FFFFFF"/>
        <w:spacing w:before="100" w:beforeAutospacing="1" w:after="100" w:afterAutospacing="1" w:line="240" w:lineRule="auto"/>
        <w:jc w:val="both"/>
        <w:rPr>
          <w:rFonts w:cs="Arial"/>
          <w:color w:val="000000"/>
          <w:shd w:val="clear" w:color="auto" w:fill="FFFFFF"/>
        </w:rPr>
      </w:pPr>
      <w:r w:rsidRPr="00BD16B6">
        <w:rPr>
          <w:rFonts w:cs="Arial"/>
          <w:color w:val="000000"/>
          <w:shd w:val="clear" w:color="auto" w:fill="FFFFFF"/>
        </w:rPr>
        <w:t>Department of HPB and Liver Transplant Surgery, Royal Free Hospital, London, UK.</w:t>
      </w:r>
    </w:p>
    <w:p w:rsidR="00BD16B6" w:rsidRPr="00BD16B6" w:rsidRDefault="00BD16B6" w:rsidP="00BD16B6">
      <w:pPr>
        <w:pStyle w:val="ListParagraph"/>
        <w:numPr>
          <w:ilvl w:val="0"/>
          <w:numId w:val="1"/>
        </w:numPr>
        <w:shd w:val="clear" w:color="auto" w:fill="FFFFFF"/>
        <w:spacing w:before="100" w:beforeAutospacing="1" w:after="100" w:afterAutospacing="1" w:line="240" w:lineRule="auto"/>
        <w:jc w:val="both"/>
        <w:rPr>
          <w:rFonts w:eastAsia="Times New Roman" w:cs="Arial"/>
          <w:color w:val="000000"/>
          <w:lang w:eastAsia="en-GB"/>
        </w:rPr>
      </w:pPr>
      <w:r w:rsidRPr="00BD16B6">
        <w:rPr>
          <w:rFonts w:cs="Arial"/>
          <w:color w:val="000000"/>
          <w:shd w:val="clear" w:color="auto" w:fill="FFFFFF"/>
        </w:rPr>
        <w:t>Department of Oncology, UCL Cancer Institute, University College London, London UK.</w:t>
      </w:r>
    </w:p>
    <w:p w:rsidR="00BD16B6" w:rsidRPr="00BD16B6" w:rsidRDefault="00BD16B6" w:rsidP="00BD16B6">
      <w:pPr>
        <w:jc w:val="both"/>
      </w:pPr>
      <w:r w:rsidRPr="00090BAC">
        <w:rPr>
          <w:b/>
        </w:rPr>
        <w:t>Background and aims:</w:t>
      </w:r>
      <w:r>
        <w:t xml:space="preserve"> Over 50% of patients with pancreatic cancer are diagnosed at the metastatic stage and die because of the debilitating metabolic effects of their unrestrained growth. Despite efforts in the past 50 years, conventional treatment approaches have had little impact on the course of this aggressive neoplasm. Therefore, the development of new treatment strategies to control cancer metastases is of immediate urgency. Fulfilment of this difficult task relies on our knowledge of the cellular and molecular biology of both primary and metastatic pancreatic cancer and the use of relevant 3D extracellular matrix models will certainly help define individual and collective aspec</w:t>
      </w:r>
      <w:r>
        <w:t>ts of this complicated process.</w:t>
      </w:r>
    </w:p>
    <w:p w:rsidR="00BD16B6" w:rsidRPr="00BD16B6" w:rsidRDefault="00BD16B6" w:rsidP="00BD16B6">
      <w:pPr>
        <w:jc w:val="both"/>
      </w:pPr>
      <w:r w:rsidRPr="000F572F">
        <w:rPr>
          <w:b/>
        </w:rPr>
        <w:t xml:space="preserve">Methods: </w:t>
      </w:r>
      <w:r>
        <w:t>Our model is based on the utilisation of decellularised human livers (n=4) and pancreases (n=4) that have previously been characterised for cellular material elimination and preservation of</w:t>
      </w:r>
      <w:bookmarkStart w:id="0" w:name="_GoBack"/>
      <w:bookmarkEnd w:id="0"/>
      <w:r>
        <w:t xml:space="preserve"> extracellular matrix (ECM) proteins and micro-architecture. Both metastatic tumour cells (PK1, derived from a liver metastasis from pancreatic origin) and primary pancreatic tumour cells (PANC1) were seeded onto 5 mm3 liver and pancreas scaffolds, as well as 2D culture systems. Histological analyses were used to confirm cell attachment and migration. Further, gene expression after 7 and 14 days was evaluated by </w:t>
      </w:r>
      <w:proofErr w:type="spellStart"/>
      <w:r>
        <w:t>qRT</w:t>
      </w:r>
      <w:proofErr w:type="spellEnd"/>
      <w:r>
        <w:t xml:space="preserve">-PCR. Additionally, </w:t>
      </w:r>
      <w:proofErr w:type="spellStart"/>
      <w:r>
        <w:t>AlamarBlue</w:t>
      </w:r>
      <w:proofErr w:type="spellEnd"/>
      <w:r>
        <w:t xml:space="preserve"> assay was performed to test chemo-resistance in both 2D and in 3D scaffolds upon treatment with 0.5 µM </w:t>
      </w:r>
      <w:r>
        <w:t>of Doxorubicin and Gemcitabine.</w:t>
      </w:r>
    </w:p>
    <w:p w:rsidR="00BD16B6" w:rsidRDefault="00BD16B6" w:rsidP="00BD16B6">
      <w:pPr>
        <w:jc w:val="both"/>
      </w:pPr>
      <w:r w:rsidRPr="000F572F">
        <w:rPr>
          <w:b/>
        </w:rPr>
        <w:t>Results:</w:t>
      </w:r>
      <w:r>
        <w:t xml:space="preserve"> Behavioural and molecular differences were observed between cancer cell lines in the different decellularised tissues. PK1 metastatic cancer cells were able to exclusively migrate and invade the liver scaffolds, and only attached superficially onto the pancreatic scaffolds. Whereas, PANC1 primary cancer cells were able to migrate and invade the pancreas scaffolds but only attached superficially onto the liver scaffolds. These differences were corroborated by significant deregulations in gene expression, for MMP9, COL1A1, TIMP1, WNT1 and β-CATENIN between 3D scaffolds and 2D cultures. Interestingly, both primary and metastatic cells were found significantly more resistant to treatment with Doxorubicin and Gemcitabine in the 3D models when compared to the same treatment</w:t>
      </w:r>
      <w:r>
        <w:t xml:space="preserve"> on 2D cultures (n=4, p&lt;0.001).</w:t>
      </w:r>
    </w:p>
    <w:p w:rsidR="00BD16B6" w:rsidRDefault="00BD16B6" w:rsidP="00BD16B6">
      <w:pPr>
        <w:jc w:val="both"/>
      </w:pPr>
      <w:r w:rsidRPr="000F572F">
        <w:rPr>
          <w:b/>
        </w:rPr>
        <w:t>Conclusion:</w:t>
      </w:r>
      <w:r>
        <w:t xml:space="preserve"> Our results suggest that primary and metastatic pancreatic cancer cells manifest a conserved invasive behaviour depending on the 3D ECM structure of origin. Moreover, there is an evident alteration in cell response to different cancer chemotherapy in the presence of a natural ECM niche. These observations provide a proof of concept for the development of an effective bio-engineered model characterised by a well-defined 3D ECM microenvironment.</w:t>
      </w:r>
    </w:p>
    <w:sectPr w:rsidR="00BD16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2C4988"/>
    <w:multiLevelType w:val="hybridMultilevel"/>
    <w:tmpl w:val="1A94EC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6B6"/>
    <w:rsid w:val="0037171E"/>
    <w:rsid w:val="00523854"/>
    <w:rsid w:val="009D249A"/>
    <w:rsid w:val="009F636E"/>
    <w:rsid w:val="00BD16B6"/>
    <w:rsid w:val="00CF3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86ADBC-CCB9-4BA6-B130-F33E216AC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6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BB27DF2F</Template>
  <TotalTime>3</TotalTime>
  <Pages>1</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3378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Walid Al-Akkad Abu-Zeina</dc:creator>
  <cp:keywords/>
  <dc:description/>
  <cp:lastModifiedBy>Walid Al-Akkad Abu-Zeina</cp:lastModifiedBy>
  <cp:revision>1</cp:revision>
  <dcterms:created xsi:type="dcterms:W3CDTF">2017-01-24T12:23:00Z</dcterms:created>
  <dcterms:modified xsi:type="dcterms:W3CDTF">2017-01-24T12:26:00Z</dcterms:modified>
</cp:coreProperties>
</file>