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6B8B0" w14:textId="79D9AC8C" w:rsidR="000653FD" w:rsidRDefault="00B767E8" w:rsidP="00B55C2C">
      <w:pPr>
        <w:spacing w:line="360" w:lineRule="auto"/>
        <w:jc w:val="center"/>
        <w:rPr>
          <w:rFonts w:ascii="Arial" w:hAnsi="Arial" w:cs="Arial"/>
          <w:b/>
          <w:sz w:val="48"/>
        </w:rPr>
      </w:pPr>
      <w:bookmarkStart w:id="0" w:name="_GoBack"/>
      <w:bookmarkEnd w:id="0"/>
      <w:r>
        <w:rPr>
          <w:rFonts w:ascii="Arial" w:hAnsi="Arial" w:cs="Arial"/>
          <w:b/>
          <w:sz w:val="48"/>
        </w:rPr>
        <w:t xml:space="preserve">Predictors of Outcome following surgery for Chronic Pancreatitis </w:t>
      </w:r>
    </w:p>
    <w:p w14:paraId="1DFC79CF" w14:textId="45512EC5" w:rsidR="00B767E8" w:rsidRPr="00B767E8" w:rsidRDefault="00B767E8" w:rsidP="00B55C2C">
      <w:pPr>
        <w:spacing w:line="360" w:lineRule="auto"/>
        <w:jc w:val="center"/>
        <w:rPr>
          <w:rFonts w:ascii="Arial" w:hAnsi="Arial" w:cs="Arial"/>
          <w:sz w:val="26"/>
          <w:szCs w:val="26"/>
        </w:rPr>
      </w:pPr>
      <w:r>
        <w:rPr>
          <w:rFonts w:ascii="Arial" w:hAnsi="Arial" w:cs="Arial"/>
          <w:b/>
          <w:sz w:val="26"/>
          <w:szCs w:val="26"/>
        </w:rPr>
        <w:t xml:space="preserve">Authors: </w:t>
      </w:r>
      <w:r w:rsidRPr="00B767E8">
        <w:rPr>
          <w:rFonts w:ascii="Arial" w:hAnsi="Arial" w:cs="Arial"/>
          <w:b/>
          <w:sz w:val="26"/>
          <w:szCs w:val="26"/>
        </w:rPr>
        <w:t xml:space="preserve">Tripuraneni Venkata Aditya Chowdary, </w:t>
      </w:r>
      <w:r w:rsidRPr="00B767E8">
        <w:rPr>
          <w:rFonts w:ascii="Arial" w:hAnsi="Arial" w:cs="Arial"/>
          <w:sz w:val="26"/>
          <w:szCs w:val="26"/>
        </w:rPr>
        <w:t xml:space="preserve">P R </w:t>
      </w:r>
      <w:proofErr w:type="spellStart"/>
      <w:r w:rsidRPr="00B767E8">
        <w:rPr>
          <w:rFonts w:ascii="Arial" w:hAnsi="Arial" w:cs="Arial"/>
          <w:sz w:val="26"/>
          <w:szCs w:val="26"/>
        </w:rPr>
        <w:t>Vamshi</w:t>
      </w:r>
      <w:proofErr w:type="spellEnd"/>
      <w:r w:rsidRPr="00B767E8">
        <w:rPr>
          <w:rFonts w:ascii="Arial" w:hAnsi="Arial" w:cs="Arial"/>
          <w:sz w:val="26"/>
          <w:szCs w:val="26"/>
        </w:rPr>
        <w:t xml:space="preserve"> Krishna, G R Mallikarjuna, N Bharat, G V P Rao, S M Sivaraj, S Thirunavukkarasu </w:t>
      </w:r>
    </w:p>
    <w:p w14:paraId="6027F05B" w14:textId="77777777" w:rsidR="00A51FCD" w:rsidRPr="00B55C2C" w:rsidRDefault="0069101C" w:rsidP="00B55C2C">
      <w:pPr>
        <w:tabs>
          <w:tab w:val="left" w:pos="6408"/>
        </w:tabs>
        <w:spacing w:line="360" w:lineRule="auto"/>
        <w:rPr>
          <w:rFonts w:ascii="Arial" w:hAnsi="Arial" w:cs="Arial"/>
        </w:rPr>
      </w:pPr>
      <w:r w:rsidRPr="00B55C2C">
        <w:rPr>
          <w:rFonts w:ascii="Arial" w:hAnsi="Arial" w:cs="Arial"/>
        </w:rPr>
        <w:tab/>
      </w:r>
    </w:p>
    <w:p w14:paraId="773CCAA4" w14:textId="77777777" w:rsidR="0069101C" w:rsidRPr="00B55C2C" w:rsidRDefault="0069101C" w:rsidP="00B55C2C">
      <w:pPr>
        <w:tabs>
          <w:tab w:val="left" w:pos="6408"/>
        </w:tabs>
        <w:spacing w:line="360" w:lineRule="auto"/>
        <w:rPr>
          <w:rFonts w:ascii="Arial" w:hAnsi="Arial" w:cs="Arial"/>
          <w:b/>
          <w:sz w:val="28"/>
        </w:rPr>
      </w:pPr>
      <w:r w:rsidRPr="00B55C2C">
        <w:rPr>
          <w:rFonts w:ascii="Arial" w:hAnsi="Arial" w:cs="Arial"/>
          <w:b/>
          <w:sz w:val="28"/>
        </w:rPr>
        <w:t>Introduction</w:t>
      </w:r>
    </w:p>
    <w:p w14:paraId="7236F1E2" w14:textId="77777777" w:rsidR="00B55C2C" w:rsidRDefault="00B55C2C" w:rsidP="00B55C2C">
      <w:pPr>
        <w:tabs>
          <w:tab w:val="left" w:pos="6408"/>
        </w:tabs>
        <w:spacing w:line="360" w:lineRule="auto"/>
        <w:jc w:val="both"/>
        <w:rPr>
          <w:rFonts w:ascii="Arial" w:hAnsi="Arial" w:cs="Arial"/>
        </w:rPr>
      </w:pPr>
    </w:p>
    <w:p w14:paraId="40EA5221" w14:textId="77777777" w:rsidR="0069101C" w:rsidRPr="00B55C2C" w:rsidRDefault="00B55C2C" w:rsidP="00B55C2C">
      <w:pPr>
        <w:tabs>
          <w:tab w:val="left" w:pos="6408"/>
        </w:tabs>
        <w:spacing w:line="360" w:lineRule="auto"/>
        <w:jc w:val="both"/>
        <w:rPr>
          <w:rFonts w:ascii="Arial" w:eastAsia="Times New Roman" w:hAnsi="Arial" w:cs="Arial"/>
          <w:color w:val="000000"/>
          <w:shd w:val="clear" w:color="auto" w:fill="FFFFFF"/>
          <w:lang w:val="en-US-POSIX"/>
        </w:rPr>
      </w:pPr>
      <w:r>
        <w:rPr>
          <w:rFonts w:ascii="Arial" w:hAnsi="Arial" w:cs="Arial"/>
        </w:rPr>
        <w:t xml:space="preserve">          </w:t>
      </w:r>
      <w:r w:rsidR="0069101C" w:rsidRPr="00B55C2C">
        <w:rPr>
          <w:rFonts w:ascii="Arial" w:hAnsi="Arial" w:cs="Arial"/>
        </w:rPr>
        <w:t xml:space="preserve">Chronic pancreatitis is a benign debilitating condition associated with   intractable abdominal </w:t>
      </w:r>
      <w:r w:rsidR="00E45FA2">
        <w:rPr>
          <w:rFonts w:ascii="Arial" w:hAnsi="Arial" w:cs="Arial"/>
        </w:rPr>
        <w:t xml:space="preserve">pain, diabetes and steatorrhea. </w:t>
      </w:r>
      <w:r w:rsidR="0069101C" w:rsidRPr="00B55C2C">
        <w:rPr>
          <w:rFonts w:ascii="Arial" w:hAnsi="Arial" w:cs="Arial"/>
        </w:rPr>
        <w:t>Surgery is indicated when the patient has intractable pain or develops complications of chronic. Surgery provides good pain relie</w:t>
      </w:r>
      <w:r w:rsidR="000653FD">
        <w:rPr>
          <w:rFonts w:ascii="Arial" w:hAnsi="Arial" w:cs="Arial"/>
        </w:rPr>
        <w:t>f in 70% to 80% of patients, where</w:t>
      </w:r>
      <w:r w:rsidR="0069101C" w:rsidRPr="00B55C2C">
        <w:rPr>
          <w:rFonts w:ascii="Arial" w:hAnsi="Arial" w:cs="Arial"/>
        </w:rPr>
        <w:t>as the remaining 10% to 20% of the patients have persistent pain</w:t>
      </w:r>
      <w:r w:rsidR="000653FD">
        <w:rPr>
          <w:rFonts w:ascii="Arial" w:hAnsi="Arial" w:cs="Arial"/>
        </w:rPr>
        <w:t>.</w:t>
      </w:r>
      <w:r w:rsidR="0069101C" w:rsidRPr="00B55C2C">
        <w:rPr>
          <w:rFonts w:ascii="Arial" w:eastAsia="Times New Roman" w:hAnsi="Arial" w:cs="Arial"/>
          <w:color w:val="000000"/>
          <w:shd w:val="clear" w:color="auto" w:fill="FFFFFF"/>
          <w:lang w:val="en-US-POSIX"/>
        </w:rPr>
        <w:t xml:space="preserve"> Several risk factors for poor pain relief have been described in the literature with controversial results. The aim </w:t>
      </w:r>
      <w:r w:rsidR="00E45FA2">
        <w:rPr>
          <w:rFonts w:ascii="Arial" w:eastAsia="Times New Roman" w:hAnsi="Arial" w:cs="Arial"/>
          <w:color w:val="000000"/>
          <w:shd w:val="clear" w:color="auto" w:fill="FFFFFF"/>
          <w:lang w:val="en-US-POSIX"/>
        </w:rPr>
        <w:t xml:space="preserve">of the study is to identify the </w:t>
      </w:r>
      <w:r w:rsidR="0069101C" w:rsidRPr="00B55C2C">
        <w:rPr>
          <w:rFonts w:ascii="Arial" w:eastAsia="Times New Roman" w:hAnsi="Arial" w:cs="Arial"/>
          <w:color w:val="000000"/>
          <w:shd w:val="clear" w:color="auto" w:fill="FFFFFF"/>
          <w:lang w:val="en-US-POSIX"/>
        </w:rPr>
        <w:t xml:space="preserve">factors associated with the outcome following surgery for chronic pancreatitis. </w:t>
      </w:r>
    </w:p>
    <w:p w14:paraId="785D8C88" w14:textId="77777777" w:rsidR="0069101C" w:rsidRPr="00B55C2C" w:rsidRDefault="0069101C" w:rsidP="00B55C2C">
      <w:pPr>
        <w:tabs>
          <w:tab w:val="left" w:pos="6408"/>
        </w:tabs>
        <w:spacing w:line="360" w:lineRule="auto"/>
        <w:jc w:val="both"/>
        <w:rPr>
          <w:rFonts w:ascii="Arial" w:eastAsia="Times New Roman" w:hAnsi="Arial" w:cs="Arial"/>
          <w:color w:val="000000"/>
          <w:shd w:val="clear" w:color="auto" w:fill="FFFFFF"/>
          <w:lang w:val="en-US-POSIX"/>
        </w:rPr>
      </w:pPr>
    </w:p>
    <w:p w14:paraId="37E547BA" w14:textId="77777777" w:rsidR="0069101C" w:rsidRDefault="0069101C" w:rsidP="00B55C2C">
      <w:pPr>
        <w:tabs>
          <w:tab w:val="left" w:pos="6408"/>
        </w:tabs>
        <w:spacing w:line="360" w:lineRule="auto"/>
        <w:jc w:val="both"/>
        <w:rPr>
          <w:rFonts w:ascii="Arial" w:eastAsia="Times New Roman" w:hAnsi="Arial" w:cs="Arial"/>
          <w:b/>
          <w:color w:val="000000"/>
          <w:sz w:val="28"/>
          <w:shd w:val="clear" w:color="auto" w:fill="FFFFFF"/>
          <w:lang w:val="en-US-POSIX"/>
        </w:rPr>
      </w:pPr>
      <w:r w:rsidRPr="00B55C2C">
        <w:rPr>
          <w:rFonts w:ascii="Arial" w:eastAsia="Times New Roman" w:hAnsi="Arial" w:cs="Arial"/>
          <w:b/>
          <w:color w:val="000000"/>
          <w:sz w:val="28"/>
          <w:shd w:val="clear" w:color="auto" w:fill="FFFFFF"/>
          <w:lang w:val="en-US-POSIX"/>
        </w:rPr>
        <w:t>Material and Methods</w:t>
      </w:r>
    </w:p>
    <w:p w14:paraId="71FD6A08" w14:textId="77777777" w:rsidR="00B55C2C" w:rsidRPr="00B55C2C" w:rsidRDefault="00B55C2C" w:rsidP="00B55C2C">
      <w:pPr>
        <w:tabs>
          <w:tab w:val="left" w:pos="6408"/>
        </w:tabs>
        <w:spacing w:line="360" w:lineRule="auto"/>
        <w:jc w:val="both"/>
        <w:rPr>
          <w:rFonts w:ascii="Arial" w:eastAsia="Times New Roman" w:hAnsi="Arial" w:cs="Arial"/>
          <w:b/>
          <w:color w:val="000000"/>
          <w:sz w:val="28"/>
          <w:shd w:val="clear" w:color="auto" w:fill="FFFFFF"/>
          <w:lang w:val="en-US-POSIX"/>
        </w:rPr>
      </w:pPr>
    </w:p>
    <w:p w14:paraId="21D9AF57" w14:textId="77777777" w:rsidR="00A010BB" w:rsidRDefault="00B55C2C" w:rsidP="00B55C2C">
      <w:pPr>
        <w:tabs>
          <w:tab w:val="left" w:pos="6408"/>
        </w:tabs>
        <w:spacing w:line="360" w:lineRule="auto"/>
        <w:jc w:val="both"/>
        <w:rPr>
          <w:rFonts w:ascii="Arial" w:hAnsi="Arial" w:cs="Arial"/>
          <w:color w:val="000000"/>
        </w:rPr>
      </w:pPr>
      <w:r>
        <w:rPr>
          <w:rFonts w:ascii="Arial" w:hAnsi="Arial" w:cs="Arial"/>
          <w:color w:val="000000"/>
        </w:rPr>
        <w:t xml:space="preserve">          </w:t>
      </w:r>
      <w:r w:rsidR="00493333">
        <w:rPr>
          <w:rFonts w:ascii="Arial" w:hAnsi="Arial" w:cs="Arial"/>
          <w:color w:val="000000"/>
        </w:rPr>
        <w:t>Patients</w:t>
      </w:r>
      <w:r w:rsidR="0069101C" w:rsidRPr="00B55C2C">
        <w:rPr>
          <w:rFonts w:ascii="Arial" w:hAnsi="Arial" w:cs="Arial"/>
          <w:color w:val="000000"/>
        </w:rPr>
        <w:t xml:space="preserve"> who underwent surgery for Chronic Pancreatitis</w:t>
      </w:r>
      <w:r w:rsidR="000653FD">
        <w:rPr>
          <w:rFonts w:ascii="Arial" w:hAnsi="Arial" w:cs="Arial"/>
          <w:color w:val="000000"/>
        </w:rPr>
        <w:t>, from</w:t>
      </w:r>
      <w:r w:rsidR="0069101C" w:rsidRPr="00B55C2C">
        <w:rPr>
          <w:rFonts w:ascii="Arial" w:hAnsi="Arial" w:cs="Arial"/>
          <w:color w:val="000000"/>
        </w:rPr>
        <w:t xml:space="preserve"> August 2012 to January 2015 were included in the stud</w:t>
      </w:r>
      <w:r w:rsidR="00A010BB" w:rsidRPr="00B55C2C">
        <w:rPr>
          <w:rFonts w:ascii="Arial" w:hAnsi="Arial" w:cs="Arial"/>
          <w:color w:val="000000"/>
        </w:rPr>
        <w:t>y. These patients were prospectively followed up for a minimum of 1 year and the outcome was assessed using the Shor</w:t>
      </w:r>
      <w:r w:rsidR="00493333">
        <w:rPr>
          <w:rFonts w:ascii="Arial" w:hAnsi="Arial" w:cs="Arial"/>
          <w:color w:val="000000"/>
        </w:rPr>
        <w:t xml:space="preserve">t Form 36 Quality of Life </w:t>
      </w:r>
      <w:r w:rsidR="00A010BB" w:rsidRPr="00B55C2C">
        <w:rPr>
          <w:rFonts w:ascii="Arial" w:hAnsi="Arial" w:cs="Arial"/>
          <w:color w:val="000000"/>
        </w:rPr>
        <w:t xml:space="preserve">questionnaire and Visual </w:t>
      </w:r>
      <w:r w:rsidR="00493333">
        <w:rPr>
          <w:rFonts w:ascii="Arial" w:hAnsi="Arial" w:cs="Arial"/>
          <w:color w:val="000000"/>
        </w:rPr>
        <w:t>Analogue Pain Score</w:t>
      </w:r>
      <w:r w:rsidR="00A010BB" w:rsidRPr="00B55C2C">
        <w:rPr>
          <w:rFonts w:ascii="Arial" w:hAnsi="Arial" w:cs="Arial"/>
          <w:color w:val="000000"/>
        </w:rPr>
        <w:t xml:space="preserve">. </w:t>
      </w:r>
    </w:p>
    <w:p w14:paraId="37286EF4" w14:textId="77777777" w:rsidR="00E45FA2" w:rsidRPr="00B55C2C" w:rsidRDefault="00E45FA2" w:rsidP="00B55C2C">
      <w:pPr>
        <w:tabs>
          <w:tab w:val="left" w:pos="6408"/>
        </w:tabs>
        <w:spacing w:line="360" w:lineRule="auto"/>
        <w:jc w:val="both"/>
        <w:rPr>
          <w:rFonts w:ascii="Arial" w:hAnsi="Arial" w:cs="Arial"/>
          <w:color w:val="000000"/>
        </w:rPr>
      </w:pPr>
    </w:p>
    <w:p w14:paraId="25355205" w14:textId="77777777" w:rsidR="00A010BB" w:rsidRDefault="00A010BB" w:rsidP="00B55C2C">
      <w:pPr>
        <w:tabs>
          <w:tab w:val="left" w:pos="6408"/>
        </w:tabs>
        <w:spacing w:line="360" w:lineRule="auto"/>
        <w:jc w:val="both"/>
        <w:rPr>
          <w:rFonts w:ascii="Arial" w:hAnsi="Arial" w:cs="Arial"/>
          <w:b/>
          <w:color w:val="000000"/>
          <w:sz w:val="28"/>
        </w:rPr>
      </w:pPr>
      <w:r w:rsidRPr="00B55C2C">
        <w:rPr>
          <w:rFonts w:ascii="Arial" w:hAnsi="Arial" w:cs="Arial"/>
          <w:b/>
          <w:color w:val="000000"/>
          <w:sz w:val="28"/>
        </w:rPr>
        <w:t xml:space="preserve">Results </w:t>
      </w:r>
    </w:p>
    <w:p w14:paraId="09985952" w14:textId="77777777" w:rsidR="00B55C2C" w:rsidRPr="00B55C2C" w:rsidRDefault="00B55C2C" w:rsidP="00B55C2C">
      <w:pPr>
        <w:tabs>
          <w:tab w:val="left" w:pos="6408"/>
        </w:tabs>
        <w:spacing w:line="360" w:lineRule="auto"/>
        <w:jc w:val="both"/>
        <w:rPr>
          <w:rFonts w:ascii="Arial" w:hAnsi="Arial" w:cs="Arial"/>
          <w:b/>
          <w:color w:val="000000"/>
          <w:sz w:val="28"/>
        </w:rPr>
      </w:pPr>
    </w:p>
    <w:p w14:paraId="34A7478D" w14:textId="77777777" w:rsidR="00A010BB" w:rsidRPr="00B55C2C" w:rsidRDefault="00B55C2C" w:rsidP="00B55C2C">
      <w:pPr>
        <w:pStyle w:val="NoSpacing"/>
        <w:spacing w:line="360" w:lineRule="auto"/>
        <w:jc w:val="both"/>
        <w:rPr>
          <w:rFonts w:ascii="Arial" w:hAnsi="Arial" w:cs="Arial"/>
          <w:sz w:val="24"/>
          <w:szCs w:val="24"/>
        </w:rPr>
      </w:pPr>
      <w:r>
        <w:rPr>
          <w:rFonts w:ascii="Arial" w:hAnsi="Arial" w:cs="Arial"/>
          <w:color w:val="000000"/>
          <w:sz w:val="24"/>
          <w:szCs w:val="24"/>
        </w:rPr>
        <w:t xml:space="preserve">          </w:t>
      </w:r>
      <w:r w:rsidR="00A010BB" w:rsidRPr="00B55C2C">
        <w:rPr>
          <w:rFonts w:ascii="Arial" w:hAnsi="Arial" w:cs="Arial"/>
          <w:color w:val="000000"/>
          <w:sz w:val="24"/>
          <w:szCs w:val="24"/>
        </w:rPr>
        <w:t>24 patients with chronic pancreatitis</w:t>
      </w:r>
      <w:r w:rsidR="000653FD">
        <w:rPr>
          <w:rFonts w:ascii="Arial" w:hAnsi="Arial" w:cs="Arial"/>
          <w:color w:val="000000"/>
          <w:sz w:val="24"/>
          <w:szCs w:val="24"/>
        </w:rPr>
        <w:t xml:space="preserve"> underwent surgery </w:t>
      </w:r>
      <w:r w:rsidR="00493333">
        <w:rPr>
          <w:rFonts w:ascii="Arial" w:hAnsi="Arial" w:cs="Arial"/>
          <w:color w:val="000000"/>
          <w:sz w:val="24"/>
          <w:szCs w:val="24"/>
        </w:rPr>
        <w:t>-</w:t>
      </w:r>
      <w:r w:rsidR="000653FD">
        <w:rPr>
          <w:rFonts w:ascii="Arial" w:hAnsi="Arial" w:cs="Arial"/>
          <w:color w:val="000000"/>
          <w:sz w:val="24"/>
          <w:szCs w:val="24"/>
        </w:rPr>
        <w:t xml:space="preserve"> Frey’s Procedure.</w:t>
      </w:r>
      <w:r w:rsidR="00A010BB" w:rsidRPr="00B55C2C">
        <w:rPr>
          <w:rFonts w:ascii="Arial" w:hAnsi="Arial" w:cs="Arial"/>
          <w:color w:val="000000"/>
          <w:sz w:val="24"/>
          <w:szCs w:val="24"/>
        </w:rPr>
        <w:t xml:space="preserve"> All patients had a significant improvement in the QOL and VAS scores from the preoperative period to 12 months after surgery (QOL – </w:t>
      </w:r>
      <w:r w:rsidR="00A010BB" w:rsidRPr="00B55C2C">
        <w:rPr>
          <w:rFonts w:ascii="Arial" w:hAnsi="Arial" w:cs="Arial"/>
          <w:sz w:val="24"/>
          <w:szCs w:val="24"/>
        </w:rPr>
        <w:lastRenderedPageBreak/>
        <w:t xml:space="preserve">34.75±12.92 </w:t>
      </w:r>
      <w:proofErr w:type="spellStart"/>
      <w:r w:rsidR="00A010BB" w:rsidRPr="00B55C2C">
        <w:rPr>
          <w:rFonts w:ascii="Arial" w:hAnsi="Arial" w:cs="Arial"/>
          <w:sz w:val="24"/>
          <w:szCs w:val="24"/>
        </w:rPr>
        <w:t>vs</w:t>
      </w:r>
      <w:proofErr w:type="spellEnd"/>
      <w:r w:rsidR="00A010BB" w:rsidRPr="00B55C2C">
        <w:rPr>
          <w:rFonts w:ascii="Arial" w:hAnsi="Arial" w:cs="Arial"/>
          <w:sz w:val="24"/>
          <w:szCs w:val="24"/>
        </w:rPr>
        <w:t xml:space="preserve"> 73.04±14.67</w:t>
      </w:r>
      <w:r w:rsidRPr="00B55C2C">
        <w:rPr>
          <w:rFonts w:ascii="Arial" w:hAnsi="Arial" w:cs="Arial"/>
          <w:sz w:val="24"/>
          <w:szCs w:val="24"/>
        </w:rPr>
        <w:t xml:space="preserve"> P &lt; 0.001</w:t>
      </w:r>
      <w:r w:rsidR="00A010BB" w:rsidRPr="00B55C2C">
        <w:rPr>
          <w:rFonts w:ascii="Arial" w:hAnsi="Arial" w:cs="Arial"/>
          <w:sz w:val="24"/>
          <w:szCs w:val="24"/>
        </w:rPr>
        <w:t xml:space="preserve">, VAS - 7.50±1.14 </w:t>
      </w:r>
      <w:proofErr w:type="spellStart"/>
      <w:r w:rsidR="00A010BB" w:rsidRPr="00B55C2C">
        <w:rPr>
          <w:rFonts w:ascii="Arial" w:hAnsi="Arial" w:cs="Arial"/>
          <w:sz w:val="24"/>
          <w:szCs w:val="24"/>
        </w:rPr>
        <w:t>vs</w:t>
      </w:r>
      <w:proofErr w:type="spellEnd"/>
      <w:r w:rsidR="00A010BB" w:rsidRPr="00B55C2C">
        <w:rPr>
          <w:rFonts w:ascii="Arial" w:hAnsi="Arial" w:cs="Arial"/>
          <w:sz w:val="24"/>
          <w:szCs w:val="24"/>
        </w:rPr>
        <w:t xml:space="preserve"> 1.58±2.00</w:t>
      </w:r>
      <w:r w:rsidRPr="00B55C2C">
        <w:rPr>
          <w:rFonts w:ascii="Arial" w:hAnsi="Arial" w:cs="Arial"/>
          <w:sz w:val="24"/>
          <w:szCs w:val="24"/>
        </w:rPr>
        <w:t xml:space="preserve"> P &lt; 0.001). The presence of the main pancreatic duct smaller than 4mm, side branch calcifications and malignancy were associated with a poor outcome (P = 0.01450, P= 0.01450,P = 0.0417)</w:t>
      </w:r>
    </w:p>
    <w:p w14:paraId="1070BEDF" w14:textId="77777777" w:rsidR="00A010BB" w:rsidRPr="00B55C2C" w:rsidRDefault="00A010BB" w:rsidP="00B55C2C">
      <w:pPr>
        <w:pStyle w:val="NoSpacing"/>
        <w:spacing w:line="360" w:lineRule="auto"/>
        <w:jc w:val="both"/>
        <w:rPr>
          <w:rFonts w:ascii="Arial" w:hAnsi="Arial" w:cs="Arial"/>
          <w:sz w:val="24"/>
          <w:szCs w:val="24"/>
        </w:rPr>
      </w:pPr>
    </w:p>
    <w:p w14:paraId="505731E6" w14:textId="77777777" w:rsidR="00A010BB" w:rsidRDefault="00B55C2C" w:rsidP="00B55C2C">
      <w:pPr>
        <w:tabs>
          <w:tab w:val="left" w:pos="6408"/>
        </w:tabs>
        <w:spacing w:line="360" w:lineRule="auto"/>
        <w:jc w:val="both"/>
        <w:rPr>
          <w:rFonts w:ascii="Arial" w:eastAsia="Times New Roman" w:hAnsi="Arial" w:cs="Arial"/>
          <w:b/>
          <w:color w:val="000000"/>
          <w:sz w:val="28"/>
          <w:shd w:val="clear" w:color="auto" w:fill="FFFFFF"/>
          <w:lang w:val="en-US-POSIX"/>
        </w:rPr>
      </w:pPr>
      <w:r w:rsidRPr="00B55C2C">
        <w:rPr>
          <w:rFonts w:ascii="Arial" w:eastAsia="Times New Roman" w:hAnsi="Arial" w:cs="Arial"/>
          <w:b/>
          <w:color w:val="000000"/>
          <w:sz w:val="28"/>
          <w:shd w:val="clear" w:color="auto" w:fill="FFFFFF"/>
          <w:lang w:val="en-US-POSIX"/>
        </w:rPr>
        <w:t xml:space="preserve">Conclusion </w:t>
      </w:r>
    </w:p>
    <w:p w14:paraId="3C2229EF" w14:textId="77777777" w:rsidR="00B55C2C" w:rsidRPr="00B55C2C" w:rsidRDefault="00B55C2C" w:rsidP="00B55C2C">
      <w:pPr>
        <w:tabs>
          <w:tab w:val="left" w:pos="6408"/>
        </w:tabs>
        <w:spacing w:line="360" w:lineRule="auto"/>
        <w:jc w:val="both"/>
        <w:rPr>
          <w:rFonts w:ascii="Arial" w:eastAsia="Times New Roman" w:hAnsi="Arial" w:cs="Arial"/>
          <w:b/>
          <w:color w:val="000000"/>
          <w:sz w:val="28"/>
          <w:shd w:val="clear" w:color="auto" w:fill="FFFFFF"/>
          <w:lang w:val="en-US-POSIX"/>
        </w:rPr>
      </w:pPr>
    </w:p>
    <w:p w14:paraId="05AF8673" w14:textId="77777777" w:rsidR="00B55C2C" w:rsidRPr="00B55C2C" w:rsidRDefault="00B55C2C" w:rsidP="00B55C2C">
      <w:pPr>
        <w:tabs>
          <w:tab w:val="left" w:pos="6408"/>
        </w:tabs>
        <w:spacing w:line="360" w:lineRule="auto"/>
        <w:jc w:val="both"/>
        <w:rPr>
          <w:rFonts w:ascii="Arial" w:eastAsia="Times New Roman" w:hAnsi="Arial" w:cs="Arial"/>
          <w:color w:val="000000"/>
          <w:shd w:val="clear" w:color="auto" w:fill="FFFFFF"/>
          <w:lang w:val="en-US-POSIX"/>
        </w:rPr>
      </w:pPr>
      <w:r>
        <w:rPr>
          <w:rFonts w:ascii="Arial" w:eastAsia="Times New Roman" w:hAnsi="Arial" w:cs="Arial"/>
          <w:color w:val="000000"/>
          <w:shd w:val="clear" w:color="auto" w:fill="FFFFFF"/>
          <w:lang w:val="en-US-POSIX"/>
        </w:rPr>
        <w:t xml:space="preserve">          </w:t>
      </w:r>
      <w:r w:rsidRPr="00B55C2C">
        <w:rPr>
          <w:rFonts w:ascii="Arial" w:eastAsia="Times New Roman" w:hAnsi="Arial" w:cs="Arial"/>
          <w:color w:val="000000"/>
          <w:shd w:val="clear" w:color="auto" w:fill="FFFFFF"/>
          <w:lang w:val="en-US-POSIX"/>
        </w:rPr>
        <w:t xml:space="preserve">Frey’s pancreaticojeunostomy is a safe surgical procedure </w:t>
      </w:r>
      <w:r w:rsidRPr="00B55C2C">
        <w:rPr>
          <w:rFonts w:ascii="Arial" w:hAnsi="Arial" w:cs="Arial"/>
        </w:rPr>
        <w:t>resulting in a statistically significant</w:t>
      </w:r>
      <w:r w:rsidR="000653FD">
        <w:rPr>
          <w:rFonts w:ascii="Arial" w:hAnsi="Arial" w:cs="Arial"/>
        </w:rPr>
        <w:t xml:space="preserve">, </w:t>
      </w:r>
      <w:r w:rsidRPr="00B55C2C">
        <w:rPr>
          <w:rFonts w:ascii="Arial" w:hAnsi="Arial" w:cs="Arial"/>
        </w:rPr>
        <w:t xml:space="preserve">sustained alleviation of pain and significant improvement in health related quality of life which is comparable to that of general population with minimal difference in exocrine and endocrine function of pancreas. The size of the main pancreatic duct larger than 4 mm was the single most relevant factor associated with a good outcome following surgery. The presence of extensive side branch calcifications and malignancy was associated with a poor outcome. </w:t>
      </w:r>
    </w:p>
    <w:sectPr w:rsidR="00B55C2C" w:rsidRPr="00B55C2C" w:rsidSect="00627B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01C"/>
    <w:rsid w:val="000653FD"/>
    <w:rsid w:val="00493333"/>
    <w:rsid w:val="00627BDC"/>
    <w:rsid w:val="0069101C"/>
    <w:rsid w:val="00A010BB"/>
    <w:rsid w:val="00A51FCD"/>
    <w:rsid w:val="00B55C2C"/>
    <w:rsid w:val="00B767E8"/>
    <w:rsid w:val="00C74752"/>
    <w:rsid w:val="00E45F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BDF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1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010BB"/>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1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010B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1887</Characters>
  <Application>Microsoft Macintosh Word</Application>
  <DocSecurity>0</DocSecurity>
  <Lines>15</Lines>
  <Paragraphs>4</Paragraphs>
  <ScaleCrop>false</ScaleCrop>
  <Company>tadityachowdary@yahoo.com</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Chowdary</dc:creator>
  <cp:keywords/>
  <dc:description/>
  <cp:lastModifiedBy>Aditya  Chowdary</cp:lastModifiedBy>
  <cp:revision>2</cp:revision>
  <dcterms:created xsi:type="dcterms:W3CDTF">2018-02-14T06:52:00Z</dcterms:created>
  <dcterms:modified xsi:type="dcterms:W3CDTF">2018-02-14T06:52:00Z</dcterms:modified>
</cp:coreProperties>
</file>