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0CB" w:rsidRDefault="000940CB" w:rsidP="000940CB">
      <w:pPr>
        <w:rPr>
          <w:b/>
        </w:rPr>
      </w:pPr>
      <w:r>
        <w:rPr>
          <w:rFonts w:hint="eastAsia"/>
          <w:b/>
        </w:rPr>
        <w:t xml:space="preserve"> </w:t>
      </w:r>
      <w:r>
        <w:rPr>
          <w:b/>
        </w:rPr>
        <w:t>The relationship between pars tensa retractions and ossicular erosion in chronic otitis media</w:t>
      </w:r>
    </w:p>
    <w:p w:rsidR="000940CB" w:rsidRDefault="000940CB" w:rsidP="000940CB">
      <w:pPr>
        <w:rPr>
          <w:b/>
        </w:rPr>
      </w:pPr>
    </w:p>
    <w:p w:rsidR="000940CB" w:rsidRDefault="000940CB" w:rsidP="000940CB">
      <w:pPr>
        <w:rPr>
          <w:b/>
        </w:rPr>
      </w:pPr>
      <w:r>
        <w:rPr>
          <w:b/>
        </w:rPr>
        <w:t>Abstract</w:t>
      </w:r>
    </w:p>
    <w:p w:rsidR="005E19B4" w:rsidRDefault="005E19B4" w:rsidP="000940CB">
      <w:pPr>
        <w:rPr>
          <w:rFonts w:hint="eastAsia"/>
        </w:rPr>
      </w:pPr>
      <w:r>
        <w:rPr>
          <w:b/>
        </w:rPr>
        <w:t>S</w:t>
      </w:r>
      <w:r>
        <w:rPr>
          <w:rFonts w:hint="eastAsia"/>
          <w:b/>
        </w:rPr>
        <w:t xml:space="preserve">tatement of the problem: </w:t>
      </w:r>
      <w:r w:rsidRPr="006657EF">
        <w:t>C</w:t>
      </w:r>
      <w:r w:rsidRPr="006657EF">
        <w:rPr>
          <w:rFonts w:hint="eastAsia"/>
        </w:rPr>
        <w:t xml:space="preserve">hronic </w:t>
      </w:r>
      <w:r>
        <w:rPr>
          <w:rFonts w:hint="eastAsia"/>
        </w:rPr>
        <w:t xml:space="preserve">otitis media(COM) can cause pars tensa retraction (PTR) and ossicular destruction. </w:t>
      </w:r>
      <w:r w:rsidR="005D120C">
        <w:rPr>
          <w:rFonts w:hint="eastAsia"/>
        </w:rPr>
        <w:t>Its</w:t>
      </w:r>
      <w:r w:rsidR="008B7310">
        <w:rPr>
          <w:rFonts w:hint="eastAsia"/>
        </w:rPr>
        <w:t xml:space="preserve"> surgical mode</w:t>
      </w:r>
      <w:r w:rsidR="00492DE7">
        <w:rPr>
          <w:rFonts w:hint="eastAsia"/>
        </w:rPr>
        <w:t>s</w:t>
      </w:r>
      <w:r w:rsidR="008B7310">
        <w:rPr>
          <w:rFonts w:hint="eastAsia"/>
        </w:rPr>
        <w:t xml:space="preserve"> </w:t>
      </w:r>
      <w:r w:rsidR="00492DE7">
        <w:rPr>
          <w:rFonts w:hint="eastAsia"/>
        </w:rPr>
        <w:t>were</w:t>
      </w:r>
      <w:r w:rsidR="008B7310">
        <w:rPr>
          <w:rFonts w:hint="eastAsia"/>
        </w:rPr>
        <w:t xml:space="preserve"> confirmed according to o</w:t>
      </w:r>
      <w:r w:rsidR="005D120C">
        <w:rPr>
          <w:rFonts w:hint="eastAsia"/>
        </w:rPr>
        <w:t>ssicular status and hearing level</w:t>
      </w:r>
      <w:r w:rsidR="008B7310">
        <w:rPr>
          <w:rFonts w:hint="eastAsia"/>
        </w:rPr>
        <w:t xml:space="preserve">. </w:t>
      </w:r>
      <w:r w:rsidR="00E07681">
        <w:t>T</w:t>
      </w:r>
      <w:r w:rsidR="00E07681">
        <w:rPr>
          <w:rFonts w:hint="eastAsia"/>
        </w:rPr>
        <w:t xml:space="preserve">ympanoplasty with total ossicular replacement prosthesis(TORP) and partial ossicular replacement prosthesis(PORP) may have different success rates and long-term hearing outcomes. </w:t>
      </w:r>
      <w:r w:rsidR="00E073BA">
        <w:rPr>
          <w:rFonts w:hint="eastAsia"/>
        </w:rPr>
        <w:t xml:space="preserve">Researchers have reported that </w:t>
      </w:r>
      <w:r w:rsidR="00E07681">
        <w:rPr>
          <w:rFonts w:hint="eastAsia"/>
        </w:rPr>
        <w:t>ossicular destructions are not rare</w:t>
      </w:r>
      <w:r w:rsidR="00E07681" w:rsidRPr="008A4D5A">
        <w:rPr>
          <w:rFonts w:hint="eastAsia"/>
        </w:rPr>
        <w:t xml:space="preserve"> </w:t>
      </w:r>
      <w:r w:rsidR="00E07681">
        <w:rPr>
          <w:rFonts w:hint="eastAsia"/>
        </w:rPr>
        <w:t>consequences in the most cases of chronic otitis media, especially in PTR group.</w:t>
      </w:r>
      <w:r w:rsidR="00E07681">
        <w:t xml:space="preserve"> </w:t>
      </w:r>
      <w:r w:rsidR="00C360AD">
        <w:t>H</w:t>
      </w:r>
      <w:r w:rsidR="00C360AD">
        <w:rPr>
          <w:rFonts w:hint="eastAsia"/>
        </w:rPr>
        <w:t xml:space="preserve">owever, it is controversial to estimate ossicular erosion using the stage of PTR and audiology status. </w:t>
      </w:r>
      <w:r w:rsidR="00E07681">
        <w:t>T</w:t>
      </w:r>
      <w:r w:rsidR="00E07681">
        <w:rPr>
          <w:rFonts w:hint="eastAsia"/>
        </w:rPr>
        <w:t xml:space="preserve">he purpose of </w:t>
      </w:r>
      <w:r w:rsidR="00E07681">
        <w:t>this</w:t>
      </w:r>
      <w:r w:rsidR="00E07681">
        <w:rPr>
          <w:rFonts w:hint="eastAsia"/>
        </w:rPr>
        <w:t xml:space="preserve"> study is to compare incidence of ossicular erosions and surgical modes among different stages of pars tensa retraction (PTR) in patients with chronic otitis media. </w:t>
      </w:r>
    </w:p>
    <w:p w:rsidR="00E07681" w:rsidRDefault="00E07681" w:rsidP="000940CB">
      <w:pPr>
        <w:rPr>
          <w:rFonts w:hint="eastAsia"/>
        </w:rPr>
      </w:pPr>
      <w:r w:rsidRPr="00E07681">
        <w:rPr>
          <w:b/>
        </w:rPr>
        <w:t>Methodology &amp; Theoretical Orientation:</w:t>
      </w:r>
      <w:r>
        <w:rPr>
          <w:rFonts w:hint="eastAsia"/>
          <w:b/>
        </w:rPr>
        <w:t xml:space="preserve"> </w:t>
      </w:r>
      <w:r>
        <w:t xml:space="preserve">Analyze retrospectively patients who had undergone tympanotomy or tympanomastoidectomy </w:t>
      </w:r>
      <w:r>
        <w:rPr>
          <w:rFonts w:hint="eastAsia"/>
        </w:rPr>
        <w:t>in the hospital</w:t>
      </w:r>
      <w:r>
        <w:t>. Otoscopy, pure tone audiometry, and CT imaging were carried out preoperatively. Three types of tympanoplasty were used: myringoplasty</w:t>
      </w:r>
      <w:r>
        <w:rPr>
          <w:rFonts w:hint="eastAsia"/>
        </w:rPr>
        <w:t>,</w:t>
      </w:r>
      <w:r>
        <w:t xml:space="preserve"> PORP</w:t>
      </w:r>
      <w:r>
        <w:rPr>
          <w:rFonts w:hint="eastAsia"/>
        </w:rPr>
        <w:t xml:space="preserve"> and</w:t>
      </w:r>
      <w:r>
        <w:t xml:space="preserve"> TORP.</w:t>
      </w:r>
    </w:p>
    <w:p w:rsidR="00E07681" w:rsidRDefault="00E07681" w:rsidP="000940CB">
      <w:pPr>
        <w:rPr>
          <w:rFonts w:hint="eastAsia"/>
        </w:rPr>
      </w:pPr>
      <w:r w:rsidRPr="00E07681">
        <w:rPr>
          <w:b/>
        </w:rPr>
        <w:t>Findings:</w:t>
      </w:r>
      <w:r>
        <w:rPr>
          <w:rFonts w:hint="eastAsia"/>
          <w:b/>
        </w:rPr>
        <w:t xml:space="preserve"> </w:t>
      </w:r>
      <w:r>
        <w:t>There was a higher degree of ossicular chain destruction in PTR group compared with non-PTR group in patients without cholesteatoma, but not for patients with cholesteatoma. Preoperative stages of PTR predict long incus process and stapes suprastructure defects. Preope</w:t>
      </w:r>
      <w:r w:rsidR="00B100C0">
        <w:t>rative hearing thresholds show</w:t>
      </w:r>
      <w:r>
        <w:t xml:space="preserve"> no significant difference </w:t>
      </w:r>
      <w:r w:rsidR="00B100C0">
        <w:rPr>
          <w:rFonts w:hint="eastAsia"/>
        </w:rPr>
        <w:t>between</w:t>
      </w:r>
      <w:r>
        <w:t xml:space="preserve"> PTR stages, except for air-bone gap in stage </w:t>
      </w:r>
      <w:r>
        <w:rPr>
          <w:rFonts w:hint="eastAsia"/>
        </w:rPr>
        <w:t>Ⅳ</w:t>
      </w:r>
      <w:r>
        <w:t xml:space="preserve"> </w:t>
      </w:r>
      <w:r w:rsidR="00B100C0">
        <w:rPr>
          <w:rFonts w:hint="eastAsia"/>
        </w:rPr>
        <w:t>PTR</w:t>
      </w:r>
      <w:r>
        <w:t>. Surgical modes are associated with PTR</w:t>
      </w:r>
      <w:r w:rsidR="00B100C0">
        <w:t xml:space="preserve"> stage</w:t>
      </w:r>
      <w:r w:rsidR="00B100C0">
        <w:rPr>
          <w:rFonts w:hint="eastAsia"/>
        </w:rPr>
        <w:t>s</w:t>
      </w:r>
      <w:r>
        <w:t>.</w:t>
      </w:r>
    </w:p>
    <w:p w:rsidR="00E07681" w:rsidRDefault="00E07681" w:rsidP="000940CB">
      <w:pPr>
        <w:rPr>
          <w:b/>
        </w:rPr>
      </w:pPr>
      <w:r w:rsidRPr="00E07681">
        <w:rPr>
          <w:b/>
        </w:rPr>
        <w:t>Conclusion &amp; Significance:</w:t>
      </w:r>
      <w:r w:rsidRPr="00E07681">
        <w:t xml:space="preserve"> </w:t>
      </w:r>
      <w:r>
        <w:t>Our data indicate that patients without cholesteatoma have a higher prevalence of ossicular destruction in PTR group compared with non-PTR group. This may suggest that the ossicular chain is compressed and destructed by retracted pars tensa in these patients. The higher the PTR stage, the more severe the ossicular destruction would be. However, hearing thresholds are not deteriorated significantly during pars tense retraction. The usage of tympanoplasty with TORP proved to be more common in higher stages of retraction.</w:t>
      </w:r>
    </w:p>
    <w:p w:rsidR="005E19B4" w:rsidRDefault="005E19B4" w:rsidP="000940CB">
      <w:pPr>
        <w:rPr>
          <w:b/>
        </w:rPr>
      </w:pPr>
    </w:p>
    <w:p w:rsidR="000940CB" w:rsidRDefault="000940CB" w:rsidP="000940CB">
      <w:r w:rsidRPr="000940CB">
        <w:rPr>
          <w:b/>
        </w:rPr>
        <w:t xml:space="preserve">Key words: </w:t>
      </w:r>
      <w:r>
        <w:t>Pars tensa retraction; auditory ossicles; hearing; surgery</w:t>
      </w:r>
    </w:p>
    <w:p w:rsidR="00B100C0" w:rsidRDefault="00B100C0" w:rsidP="000940CB">
      <w:pPr>
        <w:rPr>
          <w:rFonts w:hint="eastAsia"/>
        </w:rPr>
      </w:pPr>
    </w:p>
    <w:p w:rsidR="000940CB" w:rsidRPr="00B100C0" w:rsidRDefault="00B100C0" w:rsidP="000940CB">
      <w:pPr>
        <w:rPr>
          <w:b/>
        </w:rPr>
      </w:pPr>
      <w:r w:rsidRPr="00B100C0">
        <w:rPr>
          <w:b/>
        </w:rPr>
        <w:t>R</w:t>
      </w:r>
      <w:r w:rsidRPr="00B100C0">
        <w:rPr>
          <w:rFonts w:hint="eastAsia"/>
          <w:b/>
        </w:rPr>
        <w:t>ecent publications:</w:t>
      </w:r>
    </w:p>
    <w:p w:rsidR="00717593" w:rsidRPr="00B100C0" w:rsidRDefault="00B100C0" w:rsidP="00B100C0">
      <w:pPr>
        <w:pStyle w:val="a5"/>
        <w:numPr>
          <w:ilvl w:val="0"/>
          <w:numId w:val="1"/>
        </w:numPr>
        <w:ind w:firstLineChars="0"/>
        <w:rPr>
          <w:rFonts w:hint="eastAsia"/>
        </w:rPr>
      </w:pPr>
      <w:r w:rsidRPr="00B100C0">
        <w:rPr>
          <w:rFonts w:ascii="Times New Roman" w:hAnsi="Times New Roman"/>
          <w:sz w:val="18"/>
        </w:rPr>
        <w:t>Haberman RS 2nd, Salapatas AM. Hearing Outcomes after Ossicular Reconstruction with Removal of the Malleus. Otolaryngol Head Neck Surg. 2017 : 194599817726279.</w:t>
      </w:r>
    </w:p>
    <w:p w:rsidR="00B100C0" w:rsidRPr="00B100C0" w:rsidRDefault="00B100C0" w:rsidP="00B100C0">
      <w:pPr>
        <w:pStyle w:val="a5"/>
        <w:numPr>
          <w:ilvl w:val="0"/>
          <w:numId w:val="1"/>
        </w:numPr>
        <w:ind w:firstLineChars="0"/>
        <w:rPr>
          <w:rFonts w:hint="eastAsia"/>
        </w:rPr>
      </w:pPr>
      <w:r>
        <w:rPr>
          <w:rFonts w:ascii="Times New Roman" w:hAnsi="Times New Roman"/>
          <w:sz w:val="18"/>
        </w:rPr>
        <w:t>O'Connell BP, Rizk HG, Hutchinson T, Nguyen SA, Lambert PR. Long-term Outcomes of Titanium Ossiculoplasty in Chronic Otitis Media. Otolaryngol Head Neck Surg. 2016. 154(6): 1084-92.</w:t>
      </w:r>
    </w:p>
    <w:p w:rsidR="00B100C0" w:rsidRPr="00B100C0" w:rsidRDefault="00B100C0" w:rsidP="00B100C0">
      <w:pPr>
        <w:pStyle w:val="a5"/>
        <w:numPr>
          <w:ilvl w:val="0"/>
          <w:numId w:val="1"/>
        </w:numPr>
        <w:ind w:firstLineChars="0"/>
        <w:rPr>
          <w:rFonts w:hint="eastAsia"/>
        </w:rPr>
      </w:pPr>
      <w:r>
        <w:rPr>
          <w:rFonts w:ascii="Times New Roman" w:hAnsi="Times New Roman"/>
          <w:sz w:val="18"/>
        </w:rPr>
        <w:t>Chavan SS, Jain PV, Vedi JN, Rai DK, Kadri H. Ossiculoplasty: a prospective study of 80 cases. Iran J Otorhinolaryngol. 2014. 26(76): 143-50.</w:t>
      </w:r>
    </w:p>
    <w:p w:rsidR="00B100C0" w:rsidRPr="00B100C0" w:rsidRDefault="00B100C0" w:rsidP="00B100C0">
      <w:pPr>
        <w:pStyle w:val="a5"/>
        <w:numPr>
          <w:ilvl w:val="0"/>
          <w:numId w:val="1"/>
        </w:numPr>
        <w:ind w:firstLineChars="0"/>
        <w:rPr>
          <w:rFonts w:hint="eastAsia"/>
        </w:rPr>
      </w:pPr>
      <w:r>
        <w:rPr>
          <w:rFonts w:ascii="Times New Roman" w:hAnsi="Times New Roman"/>
          <w:sz w:val="18"/>
        </w:rPr>
        <w:t>Jesic SD, Rovcanin LH, Jovicevic OD, Jotic AD, Slijepcevic NA, Ljubic VR. Pars tensa retractions without cholesteatoma in children: predictors for ossicular chain destruction, air conduction thresholds, and postoperative retractions. Otol Neurotol. 2014. 35(6): 997-1002.</w:t>
      </w:r>
    </w:p>
    <w:p w:rsidR="00B100C0" w:rsidRPr="000940CB" w:rsidRDefault="00B100C0" w:rsidP="003C3313">
      <w:pPr>
        <w:pStyle w:val="a5"/>
        <w:numPr>
          <w:ilvl w:val="0"/>
          <w:numId w:val="1"/>
        </w:numPr>
        <w:ind w:firstLineChars="0"/>
      </w:pPr>
      <w:r w:rsidRPr="00B100C0">
        <w:rPr>
          <w:rFonts w:ascii="Times New Roman" w:hAnsi="Times New Roman"/>
          <w:sz w:val="18"/>
        </w:rPr>
        <w:t>Alper C, Olszewska E. Assessment and management of retraction pockets. Otolaryngol Pol. 2017. 71(1): 1-21.</w:t>
      </w:r>
    </w:p>
    <w:sectPr w:rsidR="00B100C0" w:rsidRPr="000940CB" w:rsidSect="003733E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60B" w:rsidRDefault="009D060B" w:rsidP="000940CB">
      <w:r>
        <w:separator/>
      </w:r>
    </w:p>
  </w:endnote>
  <w:endnote w:type="continuationSeparator" w:id="0">
    <w:p w:rsidR="009D060B" w:rsidRDefault="009D060B" w:rsidP="00094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60B" w:rsidRDefault="009D060B" w:rsidP="000940CB">
      <w:r>
        <w:separator/>
      </w:r>
    </w:p>
  </w:footnote>
  <w:footnote w:type="continuationSeparator" w:id="0">
    <w:p w:rsidR="009D060B" w:rsidRDefault="009D060B" w:rsidP="000940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D2B9F"/>
    <w:multiLevelType w:val="hybridMultilevel"/>
    <w:tmpl w:val="8FAC553E"/>
    <w:lvl w:ilvl="0" w:tplc="C736FE1E">
      <w:start w:val="1"/>
      <w:numFmt w:val="decimal"/>
      <w:lvlText w:val="%1."/>
      <w:lvlJc w:val="left"/>
      <w:pPr>
        <w:ind w:left="360" w:hanging="360"/>
      </w:pPr>
      <w:rPr>
        <w:rFonts w:ascii="Times New Roman" w:hAnsi="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940CB"/>
    <w:rsid w:val="0001214F"/>
    <w:rsid w:val="000940CB"/>
    <w:rsid w:val="003733E3"/>
    <w:rsid w:val="003C3313"/>
    <w:rsid w:val="00492DE7"/>
    <w:rsid w:val="005D120C"/>
    <w:rsid w:val="005E19B4"/>
    <w:rsid w:val="006255F8"/>
    <w:rsid w:val="00804472"/>
    <w:rsid w:val="008B7310"/>
    <w:rsid w:val="008F3A13"/>
    <w:rsid w:val="009D060B"/>
    <w:rsid w:val="00AA6E7E"/>
    <w:rsid w:val="00B100C0"/>
    <w:rsid w:val="00B469D8"/>
    <w:rsid w:val="00C360AD"/>
    <w:rsid w:val="00D95049"/>
    <w:rsid w:val="00E073BA"/>
    <w:rsid w:val="00E07681"/>
    <w:rsid w:val="00EA7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0C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940C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940CB"/>
    <w:rPr>
      <w:sz w:val="18"/>
      <w:szCs w:val="18"/>
    </w:rPr>
  </w:style>
  <w:style w:type="paragraph" w:styleId="a4">
    <w:name w:val="footer"/>
    <w:basedOn w:val="a"/>
    <w:link w:val="Char0"/>
    <w:uiPriority w:val="99"/>
    <w:semiHidden/>
    <w:unhideWhenUsed/>
    <w:rsid w:val="000940C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940CB"/>
    <w:rPr>
      <w:sz w:val="18"/>
      <w:szCs w:val="18"/>
    </w:rPr>
  </w:style>
  <w:style w:type="paragraph" w:styleId="a5">
    <w:name w:val="List Paragraph"/>
    <w:basedOn w:val="a"/>
    <w:uiPriority w:val="34"/>
    <w:qFormat/>
    <w:rsid w:val="00B100C0"/>
    <w:pPr>
      <w:ind w:firstLineChars="200" w:firstLine="420"/>
    </w:pPr>
  </w:style>
</w:styles>
</file>

<file path=word/webSettings.xml><?xml version="1.0" encoding="utf-8"?>
<w:webSettings xmlns:r="http://schemas.openxmlformats.org/officeDocument/2006/relationships" xmlns:w="http://schemas.openxmlformats.org/wordprocessingml/2006/main">
  <w:divs>
    <w:div w:id="11980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5</cp:revision>
  <dcterms:created xsi:type="dcterms:W3CDTF">2017-10-08T14:19:00Z</dcterms:created>
  <dcterms:modified xsi:type="dcterms:W3CDTF">2017-10-10T14:35:00Z</dcterms:modified>
</cp:coreProperties>
</file>