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sz w:val="36"/>
          <w:szCs w:val="36"/>
          <w:lang w:val="en-US"/>
        </w:rPr>
      </w:pPr>
      <w:r w:rsidRPr="001807B4">
        <w:rPr>
          <w:rFonts w:ascii="AdvPADBA" w:hAnsi="AdvPADBA" w:cs="AdvPADBA"/>
          <w:sz w:val="36"/>
          <w:szCs w:val="36"/>
          <w:lang w:val="en-US"/>
        </w:rPr>
        <w:t xml:space="preserve">Outcomes of Drill Canalplasty in </w:t>
      </w:r>
      <w:r>
        <w:rPr>
          <w:rFonts w:ascii="AdvPADBA" w:hAnsi="AdvPADBA" w:cs="AdvPADBA"/>
          <w:sz w:val="36"/>
          <w:szCs w:val="36"/>
          <w:lang w:val="en-US"/>
        </w:rPr>
        <w:t xml:space="preserve">Exostoses and Osteoma: Analysis </w:t>
      </w:r>
      <w:r w:rsidRPr="001807B4">
        <w:rPr>
          <w:rFonts w:ascii="AdvPADBA" w:hAnsi="AdvPADBA" w:cs="AdvPADBA"/>
          <w:sz w:val="36"/>
          <w:szCs w:val="36"/>
          <w:lang w:val="en-US"/>
        </w:rPr>
        <w:t>of 256 Cases and Literature Review</w:t>
      </w:r>
    </w:p>
    <w:p w:rsidR="00C30EF0" w:rsidRDefault="00C30EF0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sz w:val="36"/>
          <w:szCs w:val="36"/>
          <w:lang w:val="en-US"/>
        </w:rPr>
      </w:pPr>
    </w:p>
    <w:p w:rsidR="00C30EF0" w:rsidRPr="00C30EF0" w:rsidRDefault="00C30EF0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b/>
          <w:sz w:val="24"/>
          <w:szCs w:val="24"/>
        </w:rPr>
      </w:pPr>
      <w:r w:rsidRPr="00C30EF0">
        <w:rPr>
          <w:rFonts w:ascii="AdvPADBA" w:hAnsi="AdvPADBA" w:cs="AdvPADBA"/>
          <w:b/>
          <w:sz w:val="24"/>
          <w:szCs w:val="24"/>
        </w:rPr>
        <w:t xml:space="preserve">Golda Grinblat, Sampath Chandra Prasad, </w:t>
      </w:r>
      <w:r w:rsidRPr="00C30EF0">
        <w:rPr>
          <w:rFonts w:ascii="AdvPADBA" w:hAnsi="AdvPADBA" w:cs="AdvPADBA"/>
          <w:b/>
          <w:sz w:val="24"/>
          <w:szCs w:val="24"/>
        </w:rPr>
        <w:t>Gianluca Piras</w:t>
      </w:r>
    </w:p>
    <w:p w:rsidR="00C30EF0" w:rsidRPr="00C30EF0" w:rsidRDefault="00C30EF0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C30EF0">
        <w:rPr>
          <w:rFonts w:ascii="AdvPAE92" w:hAnsi="AdvPAE92" w:cs="AdvPAE92"/>
        </w:rPr>
        <w:t>Department of Otology &amp; Skull Base Surgery, Gruppo Otologico, Piacenza, Rome, Italy;</w:t>
      </w:r>
    </w:p>
    <w:p w:rsidR="001807B4" w:rsidRDefault="001807B4" w:rsidP="001807B4">
      <w:pPr>
        <w:autoSpaceDE w:val="0"/>
        <w:autoSpaceDN w:val="0"/>
        <w:adjustRightInd w:val="0"/>
        <w:spacing w:after="0" w:line="240" w:lineRule="auto"/>
        <w:rPr>
          <w:rFonts w:ascii="AdvPADBC" w:hAnsi="AdvPADBC" w:cs="AdvPADBC"/>
          <w:b/>
          <w:lang w:val="en-US"/>
        </w:rPr>
      </w:pPr>
    </w:p>
    <w:p w:rsidR="00F750D5" w:rsidRDefault="00F750D5" w:rsidP="00F750D5">
      <w:pPr>
        <w:autoSpaceDE w:val="0"/>
        <w:autoSpaceDN w:val="0"/>
        <w:adjustRightInd w:val="0"/>
        <w:spacing w:after="0" w:line="360" w:lineRule="auto"/>
        <w:rPr>
          <w:rFonts w:ascii="AdvPADBA" w:hAnsi="AdvPADBA" w:cs="AdvPADBA"/>
          <w:lang w:val="en-US"/>
        </w:rPr>
      </w:pPr>
      <w:r>
        <w:rPr>
          <w:rFonts w:ascii="AdvPADBC" w:hAnsi="AdvPADBC" w:cs="AdvPADBC"/>
          <w:lang w:val="en-US"/>
        </w:rPr>
        <w:t>In this retrospective study w</w:t>
      </w:r>
      <w:r w:rsidRPr="00F750D5">
        <w:rPr>
          <w:rFonts w:ascii="AdvPADBC" w:hAnsi="AdvPADBC" w:cs="AdvPADBC"/>
          <w:lang w:val="en-US"/>
        </w:rPr>
        <w:t>e</w:t>
      </w:r>
      <w:r w:rsidR="001807B4" w:rsidRPr="001807B4">
        <w:rPr>
          <w:rFonts w:ascii="AdvPADBA" w:hAnsi="AdvPADBA" w:cs="AdvPADBA"/>
          <w:lang w:val="en-US"/>
        </w:rPr>
        <w:t xml:space="preserve"> describe the surgical technique of drill </w:t>
      </w:r>
      <w:proofErr w:type="spellStart"/>
      <w:r w:rsidR="001807B4" w:rsidRPr="001807B4">
        <w:rPr>
          <w:rFonts w:ascii="AdvPADBA" w:hAnsi="AdvPADBA" w:cs="AdvPADBA"/>
          <w:lang w:val="en-US"/>
        </w:rPr>
        <w:t>canaplasty</w:t>
      </w:r>
      <w:proofErr w:type="spellEnd"/>
      <w:r w:rsidR="001807B4" w:rsidRPr="001807B4">
        <w:rPr>
          <w:rFonts w:ascii="AdvPADBA" w:hAnsi="AdvPADBA" w:cs="AdvPADBA"/>
          <w:lang w:val="en-US"/>
        </w:rPr>
        <w:t xml:space="preserve"> </w:t>
      </w:r>
      <w:r>
        <w:rPr>
          <w:rFonts w:ascii="AdvPADBA" w:hAnsi="AdvPADBA" w:cs="AdvPADBA"/>
          <w:lang w:val="en-US"/>
        </w:rPr>
        <w:t>for exostosis and osteoma and</w:t>
      </w:r>
      <w:r w:rsidR="001807B4" w:rsidRPr="001807B4">
        <w:rPr>
          <w:rFonts w:ascii="AdvPADBA" w:hAnsi="AdvPADBA" w:cs="AdvPADBA"/>
          <w:lang w:val="en-US"/>
        </w:rPr>
        <w:t xml:space="preserve"> evaluate our results</w:t>
      </w:r>
      <w:r>
        <w:rPr>
          <w:rFonts w:ascii="AdvPADBA" w:hAnsi="AdvPADBA" w:cs="AdvPADBA"/>
          <w:lang w:val="en-US"/>
        </w:rPr>
        <w:t xml:space="preserve"> in 256 operated cases</w:t>
      </w:r>
      <w:r w:rsidR="001807B4" w:rsidRPr="001807B4">
        <w:rPr>
          <w:rFonts w:ascii="AdvPADBA" w:hAnsi="AdvPADBA" w:cs="AdvPADBA"/>
          <w:lang w:val="en-US"/>
        </w:rPr>
        <w:t>.</w:t>
      </w:r>
      <w:r>
        <w:rPr>
          <w:rFonts w:ascii="AdvPADBA" w:hAnsi="AdvPADBA" w:cs="AdvPADBA"/>
          <w:lang w:val="en-US"/>
        </w:rPr>
        <w:t xml:space="preserve"> As well, we </w:t>
      </w:r>
      <w:r w:rsidR="001807B4" w:rsidRPr="001807B4">
        <w:rPr>
          <w:rFonts w:ascii="AdvPADBA" w:hAnsi="AdvPADBA" w:cs="AdvPADBA"/>
          <w:lang w:val="en-US"/>
        </w:rPr>
        <w:t xml:space="preserve">propose a new grading system for external auditory canal stenosis (EACS). </w:t>
      </w:r>
    </w:p>
    <w:p w:rsidR="001807B4" w:rsidRPr="001807B4" w:rsidRDefault="001807B4" w:rsidP="00F750D5">
      <w:pPr>
        <w:autoSpaceDE w:val="0"/>
        <w:autoSpaceDN w:val="0"/>
        <w:adjustRightInd w:val="0"/>
        <w:spacing w:after="0" w:line="360" w:lineRule="auto"/>
        <w:rPr>
          <w:rFonts w:ascii="AdvPADBA" w:hAnsi="AdvPADBA" w:cs="AdvPADBA"/>
          <w:lang w:val="en-US"/>
        </w:rPr>
      </w:pPr>
      <w:r w:rsidRPr="001807B4">
        <w:rPr>
          <w:rFonts w:ascii="AdvPADBA" w:hAnsi="AdvPADBA" w:cs="AdvPADBA"/>
          <w:lang w:val="en-US"/>
        </w:rPr>
        <w:t xml:space="preserve">Mean age was 51.5 (13.41) years. One hundred sixty nine cases were men </w:t>
      </w:r>
      <w:r>
        <w:rPr>
          <w:rFonts w:ascii="AdvPADBA" w:hAnsi="AdvPADBA" w:cs="AdvPADBA"/>
          <w:lang w:val="en-US"/>
        </w:rPr>
        <w:t xml:space="preserve">and 48 women. Two hundred forty </w:t>
      </w:r>
      <w:r w:rsidRPr="001807B4">
        <w:rPr>
          <w:rFonts w:ascii="AdvPADBA" w:hAnsi="AdvPADBA" w:cs="AdvPADBA"/>
          <w:lang w:val="en-US"/>
        </w:rPr>
        <w:t>three (95%) cases were exostosis and 13 (5%) were osteomas. According to the propos</w:t>
      </w:r>
      <w:r>
        <w:rPr>
          <w:rFonts w:ascii="AdvPADBA" w:hAnsi="AdvPADBA" w:cs="AdvPADBA"/>
          <w:lang w:val="en-US"/>
        </w:rPr>
        <w:t xml:space="preserve">ed grading system, 81% ears had </w:t>
      </w:r>
      <w:r w:rsidRPr="001807B4">
        <w:rPr>
          <w:rFonts w:ascii="AdvPADBA" w:hAnsi="AdvPADBA" w:cs="AdvPADBA"/>
          <w:lang w:val="en-US"/>
        </w:rPr>
        <w:t>severe or complete stenosis. Seventy eight (30.5%) ears had a concurrent diagnosis of otoscl</w:t>
      </w:r>
      <w:r>
        <w:rPr>
          <w:rFonts w:ascii="AdvPADBA" w:hAnsi="AdvPADBA" w:cs="AdvPADBA"/>
          <w:lang w:val="en-US"/>
        </w:rPr>
        <w:t xml:space="preserve">erosis. </w:t>
      </w:r>
      <w:proofErr w:type="spellStart"/>
      <w:r>
        <w:rPr>
          <w:rFonts w:ascii="AdvPADBA" w:hAnsi="AdvPADBA" w:cs="AdvPADBA"/>
          <w:lang w:val="en-US"/>
        </w:rPr>
        <w:t>Retroauricular</w:t>
      </w:r>
      <w:proofErr w:type="spellEnd"/>
      <w:r>
        <w:rPr>
          <w:rFonts w:ascii="AdvPADBA" w:hAnsi="AdvPADBA" w:cs="AdvPADBA"/>
          <w:lang w:val="en-US"/>
        </w:rPr>
        <w:t xml:space="preserve"> approach </w:t>
      </w:r>
      <w:r w:rsidRPr="001807B4">
        <w:rPr>
          <w:rFonts w:ascii="AdvPADBA" w:hAnsi="AdvPADBA" w:cs="AdvPADBA"/>
          <w:lang w:val="en-US"/>
        </w:rPr>
        <w:t>was used in 245 (95.7%). Intraoperative complications included tympanic membrane (T</w:t>
      </w:r>
      <w:r>
        <w:rPr>
          <w:rFonts w:ascii="AdvPADBA" w:hAnsi="AdvPADBA" w:cs="AdvPADBA"/>
          <w:lang w:val="en-US"/>
        </w:rPr>
        <w:t xml:space="preserve">M) perforation seen in four </w:t>
      </w:r>
      <w:r w:rsidRPr="001807B4">
        <w:rPr>
          <w:rFonts w:ascii="AdvPADBA" w:hAnsi="AdvPADBA" w:cs="AdvPADBA"/>
          <w:lang w:val="en-US"/>
        </w:rPr>
        <w:t>(2%) and mastoid cell exposure in two (1%). Postoperative stenosis/prolonged healing was seen in 11 (4%) patients and</w:t>
      </w:r>
    </w:p>
    <w:p w:rsidR="001807B4" w:rsidRDefault="001807B4" w:rsidP="00F750D5">
      <w:pPr>
        <w:autoSpaceDE w:val="0"/>
        <w:autoSpaceDN w:val="0"/>
        <w:adjustRightInd w:val="0"/>
        <w:spacing w:after="0" w:line="360" w:lineRule="auto"/>
        <w:rPr>
          <w:rFonts w:ascii="AdvPADBA" w:hAnsi="AdvPADBA" w:cs="AdvPADBA"/>
          <w:lang w:val="en-US"/>
        </w:rPr>
      </w:pPr>
      <w:r w:rsidRPr="001807B4">
        <w:rPr>
          <w:rFonts w:ascii="AdvPADBA" w:hAnsi="AdvPADBA" w:cs="AdvPADBA"/>
          <w:lang w:val="en-US"/>
        </w:rPr>
        <w:t>required revision in seven cases. Audiologic analysis available for 153 ears-showed the mean change in air-bon</w:t>
      </w:r>
      <w:r>
        <w:rPr>
          <w:rFonts w:ascii="AdvPADBA" w:hAnsi="AdvPADBA" w:cs="AdvPADBA"/>
          <w:lang w:val="en-US"/>
        </w:rPr>
        <w:t xml:space="preserve">e gaps (ABG) </w:t>
      </w:r>
      <w:r w:rsidRPr="001807B4">
        <w:rPr>
          <w:rFonts w:ascii="AdvPADBA" w:hAnsi="AdvPADBA" w:cs="AdvPADBA"/>
          <w:lang w:val="en-US"/>
        </w:rPr>
        <w:t xml:space="preserve">of 2.18 dB, pure tone averages (PTA) bone conduction BC (0.5–4 kHz) of 0.3 </w:t>
      </w:r>
      <w:proofErr w:type="spellStart"/>
      <w:r w:rsidRPr="001807B4">
        <w:rPr>
          <w:rFonts w:ascii="AdvPADBA" w:hAnsi="AdvPADBA" w:cs="AdvPADBA"/>
          <w:lang w:val="en-US"/>
        </w:rPr>
        <w:t>dB.</w:t>
      </w:r>
      <w:proofErr w:type="spellEnd"/>
      <w:r w:rsidRPr="001807B4">
        <w:rPr>
          <w:rFonts w:ascii="AdvPADBA" w:hAnsi="AdvPADBA" w:cs="AdvPADBA"/>
          <w:lang w:val="en-US"/>
        </w:rPr>
        <w:t xml:space="preserve"> Mean</w:t>
      </w:r>
      <w:r>
        <w:rPr>
          <w:rFonts w:ascii="AdvPADBA" w:hAnsi="AdvPADBA" w:cs="AdvPADBA"/>
          <w:lang w:val="en-US"/>
        </w:rPr>
        <w:t xml:space="preserve"> healing rate was available for </w:t>
      </w:r>
      <w:r w:rsidRPr="001807B4">
        <w:rPr>
          <w:rFonts w:ascii="AdvPADBA" w:hAnsi="AdvPADBA" w:cs="AdvPADBA"/>
          <w:lang w:val="en-US"/>
        </w:rPr>
        <w:t>246 (96.1%) patients and was found to be 6.35 (4–16) weeks.</w:t>
      </w:r>
    </w:p>
    <w:p w:rsidR="00F750D5" w:rsidRDefault="001807B4" w:rsidP="00F750D5">
      <w:pPr>
        <w:autoSpaceDE w:val="0"/>
        <w:autoSpaceDN w:val="0"/>
        <w:adjustRightInd w:val="0"/>
        <w:spacing w:after="0" w:line="360" w:lineRule="auto"/>
        <w:rPr>
          <w:rFonts w:ascii="AdvPADBA" w:hAnsi="AdvPADBA" w:cs="AdvPADBA"/>
          <w:lang w:val="en-US"/>
        </w:rPr>
      </w:pPr>
      <w:r w:rsidRPr="001807B4">
        <w:rPr>
          <w:rFonts w:ascii="AdvPADBA" w:hAnsi="AdvPADBA" w:cs="AdvPADBA"/>
          <w:lang w:val="en-US"/>
        </w:rPr>
        <w:t xml:space="preserve">A systematically performed drill </w:t>
      </w:r>
      <w:proofErr w:type="spellStart"/>
      <w:r w:rsidRPr="001807B4">
        <w:rPr>
          <w:rFonts w:ascii="AdvPADBA" w:hAnsi="AdvPADBA" w:cs="AdvPADBA"/>
          <w:lang w:val="en-US"/>
        </w:rPr>
        <w:t>canalplasty</w:t>
      </w:r>
      <w:proofErr w:type="spellEnd"/>
      <w:r w:rsidRPr="001807B4">
        <w:rPr>
          <w:rFonts w:ascii="AdvPADBA" w:hAnsi="AdvPADBA" w:cs="AdvPADBA"/>
          <w:lang w:val="en-US"/>
        </w:rPr>
        <w:t xml:space="preserve"> via </w:t>
      </w:r>
      <w:proofErr w:type="spellStart"/>
      <w:r w:rsidRPr="001807B4">
        <w:rPr>
          <w:rFonts w:ascii="AdvPADBA" w:hAnsi="AdvPADBA" w:cs="AdvPADBA"/>
          <w:lang w:val="en-US"/>
        </w:rPr>
        <w:t>retroauricular</w:t>
      </w:r>
      <w:proofErr w:type="spellEnd"/>
      <w:r w:rsidRPr="001807B4">
        <w:rPr>
          <w:rFonts w:ascii="AdvPADBA" w:hAnsi="AdvPADBA" w:cs="AdvPADBA"/>
          <w:lang w:val="en-US"/>
        </w:rPr>
        <w:t xml:space="preserve"> approach, as de</w:t>
      </w:r>
      <w:r>
        <w:rPr>
          <w:rFonts w:ascii="AdvPADBA" w:hAnsi="AdvPADBA" w:cs="AdvPADBA"/>
          <w:lang w:val="en-US"/>
        </w:rPr>
        <w:t xml:space="preserve">scribed in this article, yields </w:t>
      </w:r>
      <w:r w:rsidRPr="001807B4">
        <w:rPr>
          <w:rFonts w:ascii="AdvPADBA" w:hAnsi="AdvPADBA" w:cs="AdvPADBA"/>
          <w:lang w:val="en-US"/>
        </w:rPr>
        <w:t>excellent postoperative outcomes as seen in our series. Notably, one-third of exostose</w:t>
      </w:r>
      <w:r>
        <w:rPr>
          <w:rFonts w:ascii="AdvPADBA" w:hAnsi="AdvPADBA" w:cs="AdvPADBA"/>
          <w:lang w:val="en-US"/>
        </w:rPr>
        <w:t xml:space="preserve">s patients in this series, also </w:t>
      </w:r>
      <w:r w:rsidRPr="001807B4">
        <w:rPr>
          <w:rFonts w:ascii="AdvPADBA" w:hAnsi="AdvPADBA" w:cs="AdvPADBA"/>
          <w:lang w:val="en-US"/>
        </w:rPr>
        <w:t>suffered from otosclerosis. The proposed grading system for EACS enables the surgeon to objectively stage the disease.</w:t>
      </w:r>
    </w:p>
    <w:p w:rsidR="00F750D5" w:rsidRDefault="00F750D5" w:rsidP="00F750D5">
      <w:pPr>
        <w:autoSpaceDE w:val="0"/>
        <w:autoSpaceDN w:val="0"/>
        <w:adjustRightInd w:val="0"/>
        <w:spacing w:after="0" w:line="360" w:lineRule="auto"/>
        <w:rPr>
          <w:rFonts w:ascii="AdvPADBA" w:hAnsi="AdvPADBA" w:cs="AdvPADBA"/>
          <w:lang w:val="en-US"/>
        </w:rPr>
      </w:pPr>
      <w:r w:rsidRPr="00F750D5">
        <w:rPr>
          <w:rFonts w:ascii="AdvPADBA" w:hAnsi="AdvPADBA" w:cs="AdvPADBA"/>
        </w:rPr>
        <w:lastRenderedPageBreak/>
        <w:drawing>
          <wp:inline distT="0" distB="0" distL="0" distR="0" wp14:anchorId="537E44C3" wp14:editId="3C195FDF">
            <wp:extent cx="6120130" cy="4274820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3AEBCE36-9B2B-42C3-B902-D9310FC50B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3AEBCE36-9B2B-42C3-B902-D9310FC50B5D}"/>
                        </a:ext>
                      </a:extLst>
                    </pic:cNvPr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" t="1127" r="1669"/>
                    <a:stretch/>
                  </pic:blipFill>
                  <pic:spPr>
                    <a:xfrm>
                      <a:off x="0" y="0"/>
                      <a:ext cx="6120130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7B4" w:rsidRPr="00720A48" w:rsidRDefault="00F750D5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b/>
          <w:lang w:val="en-US"/>
        </w:rPr>
      </w:pPr>
      <w:bookmarkStart w:id="0" w:name="_GoBack"/>
      <w:r w:rsidRPr="00720A48">
        <w:rPr>
          <w:rFonts w:ascii="AdvPADBA" w:hAnsi="AdvPADBA" w:cs="AdvPADBA"/>
          <w:b/>
          <w:lang w:val="en-US"/>
        </w:rPr>
        <w:t>Recent Literature</w:t>
      </w:r>
    </w:p>
    <w:bookmarkEnd w:id="0"/>
    <w:p w:rsidR="00720A48" w:rsidRPr="00720A48" w:rsidRDefault="00720A48" w:rsidP="00720A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720A48">
        <w:rPr>
          <w:rFonts w:ascii="AdvPADBA" w:hAnsi="AdvPADBA" w:cs="AdvPADBA"/>
          <w:lang w:val="en-US"/>
        </w:rPr>
        <w:t xml:space="preserve">Ghavami Y, Bhatt J, </w:t>
      </w:r>
      <w:proofErr w:type="spellStart"/>
      <w:r w:rsidRPr="00720A48">
        <w:rPr>
          <w:rFonts w:ascii="AdvPADBA" w:hAnsi="AdvPADBA" w:cs="AdvPADBA"/>
          <w:lang w:val="en-US"/>
        </w:rPr>
        <w:t>Ziai</w:t>
      </w:r>
      <w:proofErr w:type="spellEnd"/>
      <w:r w:rsidRPr="00720A48">
        <w:rPr>
          <w:rFonts w:ascii="AdvPADBA" w:hAnsi="AdvPADBA" w:cs="AdvPADBA"/>
          <w:lang w:val="en-US"/>
        </w:rPr>
        <w:t xml:space="preserve"> K, </w:t>
      </w:r>
      <w:proofErr w:type="spellStart"/>
      <w:r w:rsidRPr="00720A48">
        <w:rPr>
          <w:rFonts w:ascii="AdvPADBA" w:hAnsi="AdvPADBA" w:cs="AdvPADBA"/>
          <w:lang w:val="en-US"/>
        </w:rPr>
        <w:t>Maducdoc</w:t>
      </w:r>
      <w:proofErr w:type="spellEnd"/>
      <w:r w:rsidRPr="00720A48">
        <w:rPr>
          <w:rFonts w:ascii="AdvPADBA" w:hAnsi="AdvPADBA" w:cs="AdvPADBA"/>
          <w:lang w:val="en-US"/>
        </w:rPr>
        <w:t xml:space="preserve"> MM,</w:t>
      </w:r>
      <w:r w:rsidRPr="00720A48">
        <w:rPr>
          <w:rFonts w:ascii="AdvPADBA" w:hAnsi="AdvPADBA" w:cs="AdvPADBA"/>
          <w:lang w:val="en-US"/>
        </w:rPr>
        <w:t xml:space="preserve"> </w:t>
      </w:r>
      <w:proofErr w:type="spellStart"/>
      <w:r w:rsidRPr="00720A48">
        <w:rPr>
          <w:rFonts w:ascii="AdvPADBA" w:hAnsi="AdvPADBA" w:cs="AdvPADBA"/>
          <w:lang w:val="en-US"/>
        </w:rPr>
        <w:t>Djalilian</w:t>
      </w:r>
      <w:proofErr w:type="spellEnd"/>
      <w:r w:rsidRPr="00720A48">
        <w:rPr>
          <w:rFonts w:ascii="AdvPADBA" w:hAnsi="AdvPADBA" w:cs="AdvPADBA"/>
          <w:lang w:val="en-US"/>
        </w:rPr>
        <w:t xml:space="preserve"> HR. </w:t>
      </w:r>
      <w:proofErr w:type="spellStart"/>
      <w:r w:rsidRPr="00720A48">
        <w:rPr>
          <w:rFonts w:ascii="AdvPADBA" w:hAnsi="AdvPADBA" w:cs="AdvPADBA"/>
          <w:lang w:val="en-US"/>
        </w:rPr>
        <w:t>Transcanal</w:t>
      </w:r>
      <w:proofErr w:type="spellEnd"/>
      <w:r w:rsidRPr="00720A48"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>micro-</w:t>
      </w:r>
      <w:proofErr w:type="spellStart"/>
      <w:r w:rsidRPr="00720A48">
        <w:rPr>
          <w:rFonts w:ascii="AdvPADBA" w:hAnsi="AdvPADBA" w:cs="AdvPADBA"/>
          <w:lang w:val="en-US"/>
        </w:rPr>
        <w:t>osteotome</w:t>
      </w:r>
      <w:proofErr w:type="spellEnd"/>
      <w:r w:rsidRPr="00720A48">
        <w:rPr>
          <w:rFonts w:ascii="AdvPADBA" w:hAnsi="AdvPADBA" w:cs="AdvPADBA"/>
          <w:lang w:val="en-US"/>
        </w:rPr>
        <w:t xml:space="preserve"> only techn</w:t>
      </w:r>
      <w:r w:rsidRPr="00720A48">
        <w:rPr>
          <w:rFonts w:ascii="AdvPADBA" w:hAnsi="AdvPADBA" w:cs="AdvPADBA"/>
          <w:lang w:val="en-US"/>
        </w:rPr>
        <w:t xml:space="preserve">ique for excision of exostoses. </w:t>
      </w:r>
      <w:r w:rsidRPr="00720A48">
        <w:rPr>
          <w:rFonts w:ascii="AdvPAE92" w:hAnsi="AdvPAE92" w:cs="AdvPAE92"/>
        </w:rPr>
        <w:t xml:space="preserve">Otol Neurotol </w:t>
      </w:r>
      <w:r w:rsidRPr="00720A48">
        <w:rPr>
          <w:rFonts w:ascii="AdvPADBA" w:hAnsi="AdvPADBA" w:cs="AdvPADBA"/>
        </w:rPr>
        <w:t>2016;37:185–9.</w:t>
      </w:r>
    </w:p>
    <w:p w:rsidR="00720A48" w:rsidRPr="00720A48" w:rsidRDefault="00720A48" w:rsidP="00720A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720A48">
        <w:rPr>
          <w:rFonts w:ascii="AdvPADBA" w:hAnsi="AdvPADBA" w:cs="AdvPADBA"/>
          <w:lang w:val="en-US"/>
        </w:rPr>
        <w:t>Barrett G, Ronan N, Cowan E, Flanagan P. To drill or to chisel? A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 xml:space="preserve">long-term follow-up study of 92 </w:t>
      </w:r>
      <w:proofErr w:type="spellStart"/>
      <w:r w:rsidRPr="00720A48">
        <w:rPr>
          <w:rFonts w:ascii="AdvPADBA" w:hAnsi="AdvPADBA" w:cs="AdvPADBA"/>
          <w:lang w:val="en-US"/>
        </w:rPr>
        <w:t>exostectomy</w:t>
      </w:r>
      <w:proofErr w:type="spellEnd"/>
      <w:r w:rsidRPr="00720A48">
        <w:rPr>
          <w:rFonts w:ascii="AdvPADBA" w:hAnsi="AdvPADBA" w:cs="AdvPADBA"/>
          <w:lang w:val="en-US"/>
        </w:rPr>
        <w:t xml:space="preserve"> procedures in the UK.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E92" w:hAnsi="AdvPAE92" w:cs="AdvPAE92"/>
        </w:rPr>
        <w:t xml:space="preserve">Laryngoscope </w:t>
      </w:r>
      <w:r w:rsidRPr="00720A48">
        <w:rPr>
          <w:rFonts w:ascii="AdvPADBA" w:hAnsi="AdvPADBA" w:cs="AdvPADBA"/>
        </w:rPr>
        <w:t>2015;125:453–6.</w:t>
      </w:r>
    </w:p>
    <w:p w:rsidR="00720A48" w:rsidRPr="00720A48" w:rsidRDefault="00720A48" w:rsidP="00720A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720A48">
        <w:rPr>
          <w:rFonts w:ascii="AdvPADBA" w:hAnsi="AdvPADBA" w:cs="AdvPADBA"/>
          <w:lang w:val="en-US"/>
        </w:rPr>
        <w:t>Moss WJ, Lin HW, Cueva RA. Canalplasty for exostoses with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>maximal skin preservation with temporoparietal fascia grafting and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>use of bone wax for skin flap protection: a retrospective case series.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E92" w:hAnsi="AdvPAE92" w:cs="AdvPAE92"/>
        </w:rPr>
        <w:t xml:space="preserve">Ann Otol Rhinol Laryngol </w:t>
      </w:r>
      <w:r w:rsidRPr="00720A48">
        <w:rPr>
          <w:rFonts w:ascii="AdvPADBA" w:hAnsi="AdvPADBA" w:cs="AdvPADBA"/>
        </w:rPr>
        <w:t>2015;124:978–86.</w:t>
      </w:r>
    </w:p>
    <w:p w:rsidR="00720A48" w:rsidRPr="00720A48" w:rsidRDefault="00720A48" w:rsidP="00720A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proofErr w:type="spellStart"/>
      <w:r w:rsidRPr="00720A48">
        <w:rPr>
          <w:rFonts w:ascii="AdvPADBA" w:hAnsi="AdvPADBA" w:cs="AdvPADBA"/>
          <w:lang w:val="en-US"/>
        </w:rPr>
        <w:t>Mudry</w:t>
      </w:r>
      <w:proofErr w:type="spellEnd"/>
      <w:r w:rsidRPr="00720A48">
        <w:rPr>
          <w:rFonts w:ascii="AdvPADBA" w:hAnsi="AdvPADBA" w:cs="AdvPADBA"/>
          <w:lang w:val="en-US"/>
        </w:rPr>
        <w:t xml:space="preserve"> A, </w:t>
      </w:r>
      <w:proofErr w:type="spellStart"/>
      <w:r w:rsidRPr="00720A48">
        <w:rPr>
          <w:rFonts w:ascii="AdvPADBA" w:hAnsi="AdvPADBA" w:cs="AdvPADBA"/>
          <w:lang w:val="en-US"/>
        </w:rPr>
        <w:t>Hetzler</w:t>
      </w:r>
      <w:proofErr w:type="spellEnd"/>
      <w:r w:rsidRPr="00720A48">
        <w:rPr>
          <w:rFonts w:ascii="AdvPADBA" w:hAnsi="AdvPADBA" w:cs="AdvPADBA"/>
          <w:lang w:val="en-US"/>
        </w:rPr>
        <w:t xml:space="preserve"> D. Birth and evolution of </w:t>
      </w:r>
      <w:proofErr w:type="spellStart"/>
      <w:r w:rsidRPr="00720A48">
        <w:rPr>
          <w:rFonts w:ascii="AdvPADBA" w:hAnsi="AdvPADBA" w:cs="AdvPADBA"/>
          <w:lang w:val="en-US"/>
        </w:rPr>
        <w:t>chiselling</w:t>
      </w:r>
      <w:proofErr w:type="spellEnd"/>
      <w:r w:rsidRPr="00720A48">
        <w:rPr>
          <w:rFonts w:ascii="AdvPADBA" w:hAnsi="AdvPADBA" w:cs="AdvPADBA"/>
          <w:lang w:val="en-US"/>
        </w:rPr>
        <w:t xml:space="preserve"> and drilling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 xml:space="preserve">techniques for removing ear canal exostoses. </w:t>
      </w:r>
      <w:proofErr w:type="spellStart"/>
      <w:r w:rsidRPr="00720A48">
        <w:rPr>
          <w:rFonts w:ascii="AdvPAE92" w:hAnsi="AdvPAE92" w:cs="AdvPAE92"/>
          <w:lang w:val="en-US"/>
        </w:rPr>
        <w:t>Otol</w:t>
      </w:r>
      <w:proofErr w:type="spellEnd"/>
      <w:r w:rsidRPr="00720A48">
        <w:rPr>
          <w:rFonts w:ascii="AdvPAE92" w:hAnsi="AdvPAE92" w:cs="AdvPAE92"/>
          <w:lang w:val="en-US"/>
        </w:rPr>
        <w:t xml:space="preserve"> </w:t>
      </w:r>
      <w:proofErr w:type="spellStart"/>
      <w:r w:rsidRPr="00720A48">
        <w:rPr>
          <w:rFonts w:ascii="AdvPAE92" w:hAnsi="AdvPAE92" w:cs="AdvPAE92"/>
          <w:lang w:val="en-US"/>
        </w:rPr>
        <w:t>Neurotol</w:t>
      </w:r>
      <w:proofErr w:type="spellEnd"/>
      <w:r>
        <w:rPr>
          <w:rFonts w:ascii="AdvPAE92" w:hAnsi="AdvPAE92" w:cs="AdvPAE92"/>
          <w:lang w:val="en-US"/>
        </w:rPr>
        <w:t xml:space="preserve"> </w:t>
      </w:r>
      <w:r w:rsidRPr="00720A48">
        <w:rPr>
          <w:rFonts w:ascii="AdvPADBA" w:hAnsi="AdvPADBA" w:cs="AdvPADBA"/>
        </w:rPr>
        <w:t>2016;37:109–14.</w:t>
      </w:r>
    </w:p>
    <w:p w:rsidR="00720A48" w:rsidRPr="00720A48" w:rsidRDefault="00720A48" w:rsidP="00720A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  <w:r w:rsidRPr="00720A48">
        <w:rPr>
          <w:rFonts w:ascii="AdvPADBA" w:hAnsi="AdvPADBA" w:cs="AdvPADBA"/>
          <w:lang w:val="en-US"/>
        </w:rPr>
        <w:t xml:space="preserve">Hempel JM, </w:t>
      </w:r>
      <w:proofErr w:type="spellStart"/>
      <w:r w:rsidRPr="00720A48">
        <w:rPr>
          <w:rFonts w:ascii="AdvPADBA" w:hAnsi="AdvPADBA" w:cs="AdvPADBA"/>
          <w:lang w:val="en-US"/>
        </w:rPr>
        <w:t>Forell</w:t>
      </w:r>
      <w:proofErr w:type="spellEnd"/>
      <w:r w:rsidRPr="00720A48">
        <w:rPr>
          <w:rFonts w:ascii="AdvPADBA" w:hAnsi="AdvPADBA" w:cs="AdvPADBA"/>
          <w:lang w:val="en-US"/>
        </w:rPr>
        <w:t xml:space="preserve"> S, Krause E, Mu¨ </w:t>
      </w:r>
      <w:proofErr w:type="spellStart"/>
      <w:r w:rsidRPr="00720A48">
        <w:rPr>
          <w:rFonts w:ascii="AdvPADBA" w:hAnsi="AdvPADBA" w:cs="AdvPADBA"/>
          <w:lang w:val="en-US"/>
        </w:rPr>
        <w:t>ller</w:t>
      </w:r>
      <w:proofErr w:type="spellEnd"/>
      <w:r w:rsidRPr="00720A48">
        <w:rPr>
          <w:rFonts w:ascii="AdvPADBA" w:hAnsi="AdvPADBA" w:cs="AdvPADBA"/>
          <w:lang w:val="en-US"/>
        </w:rPr>
        <w:t xml:space="preserve"> J, Braun T. Surgery for outer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>ear canal exostoses and osteomata: focusing on patient benefit and</w:t>
      </w:r>
      <w:r>
        <w:rPr>
          <w:rFonts w:ascii="AdvPADBA" w:hAnsi="AdvPADBA" w:cs="AdvPADBA"/>
          <w:lang w:val="en-US"/>
        </w:rPr>
        <w:t xml:space="preserve"> </w:t>
      </w:r>
      <w:r w:rsidRPr="00720A48">
        <w:rPr>
          <w:rFonts w:ascii="AdvPADBA" w:hAnsi="AdvPADBA" w:cs="AdvPADBA"/>
          <w:lang w:val="en-US"/>
        </w:rPr>
        <w:t xml:space="preserve">health-related quality of life. </w:t>
      </w:r>
      <w:r w:rsidRPr="00720A48">
        <w:rPr>
          <w:rFonts w:ascii="AdvPAE92" w:hAnsi="AdvPAE92" w:cs="AdvPAE92"/>
          <w:lang w:val="en-US"/>
        </w:rPr>
        <w:t xml:space="preserve">Otol Neurotol </w:t>
      </w:r>
      <w:r w:rsidRPr="00720A48">
        <w:rPr>
          <w:rFonts w:ascii="AdvPADBA" w:hAnsi="AdvPADBA" w:cs="AdvPADBA"/>
          <w:lang w:val="en-US"/>
        </w:rPr>
        <w:t>2012;33:83–6.</w:t>
      </w:r>
    </w:p>
    <w:p w:rsidR="0053639C" w:rsidRPr="00720A48" w:rsidRDefault="0053639C" w:rsidP="001807B4">
      <w:pPr>
        <w:autoSpaceDE w:val="0"/>
        <w:autoSpaceDN w:val="0"/>
        <w:adjustRightInd w:val="0"/>
        <w:spacing w:after="0" w:line="240" w:lineRule="auto"/>
        <w:rPr>
          <w:rFonts w:ascii="AdvPADBA" w:hAnsi="AdvPADBA" w:cs="AdvPADBA"/>
          <w:lang w:val="en-US"/>
        </w:rPr>
      </w:pPr>
    </w:p>
    <w:sectPr w:rsidR="0053639C" w:rsidRPr="00720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PADB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AE9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ADB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71F0"/>
    <w:multiLevelType w:val="hybridMultilevel"/>
    <w:tmpl w:val="629C7A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7B4"/>
    <w:rsid w:val="001807B4"/>
    <w:rsid w:val="0053639C"/>
    <w:rsid w:val="00720A48"/>
    <w:rsid w:val="00C30EF0"/>
    <w:rsid w:val="00F7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C61D6"/>
  <w15:chartTrackingRefBased/>
  <w15:docId w15:val="{B2386CB8-D034-4156-A6CC-BE5E9A2D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golda kovaèiæ</dc:creator>
  <cp:keywords/>
  <dc:description/>
  <cp:lastModifiedBy>golda kovaèiæ</cp:lastModifiedBy>
  <cp:revision>4</cp:revision>
  <dcterms:created xsi:type="dcterms:W3CDTF">2017-10-02T19:19:00Z</dcterms:created>
  <dcterms:modified xsi:type="dcterms:W3CDTF">2017-10-03T08:09:00Z</dcterms:modified>
</cp:coreProperties>
</file>