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6F82" w:rsidRPr="00A66F82" w:rsidRDefault="00A66F82" w:rsidP="00D15F6C">
      <w:pPr>
        <w:tabs>
          <w:tab w:val="left" w:pos="1780"/>
        </w:tabs>
        <w:ind w:left="1780"/>
        <w:rPr>
          <w:rFonts w:eastAsia="Times New Roman"/>
          <w:b/>
          <w:bCs/>
          <w:sz w:val="28"/>
          <w:szCs w:val="28"/>
          <w:lang w:val="en-US"/>
        </w:rPr>
      </w:pPr>
      <w:bookmarkStart w:id="0" w:name="_Hlk494787539"/>
      <w:bookmarkEnd w:id="0"/>
    </w:p>
    <w:p w:rsidR="00D15F6C" w:rsidRPr="00A66F82" w:rsidRDefault="00D15F6C" w:rsidP="00A66F82">
      <w:pPr>
        <w:tabs>
          <w:tab w:val="left" w:pos="1780"/>
        </w:tabs>
        <w:ind w:left="1780"/>
        <w:jc w:val="center"/>
        <w:rPr>
          <w:rFonts w:ascii="Calibri" w:eastAsia="Calibri" w:hAnsi="Calibri" w:cs="Calibri"/>
          <w:sz w:val="28"/>
          <w:szCs w:val="28"/>
          <w:lang w:val="en-US"/>
        </w:rPr>
      </w:pPr>
      <w:r w:rsidRPr="00A66F82">
        <w:rPr>
          <w:rFonts w:eastAsia="Times New Roman"/>
          <w:b/>
          <w:bCs/>
          <w:sz w:val="28"/>
          <w:szCs w:val="28"/>
          <w:lang w:val="en-US"/>
        </w:rPr>
        <w:t>Temporal bone Meningo-encephalic-Herniation: Etiological Categorization and</w:t>
      </w:r>
      <w:r w:rsidR="00A66F82">
        <w:rPr>
          <w:rFonts w:eastAsia="Times New Roman"/>
          <w:b/>
          <w:bCs/>
          <w:sz w:val="28"/>
          <w:szCs w:val="28"/>
          <w:lang w:val="en-US"/>
        </w:rPr>
        <w:t xml:space="preserve"> Surgical Strategy</w:t>
      </w:r>
    </w:p>
    <w:p w:rsidR="00D15F6C" w:rsidRPr="00A66F82" w:rsidRDefault="00D15F6C" w:rsidP="00D15F6C">
      <w:pPr>
        <w:spacing w:line="19" w:lineRule="exact"/>
        <w:rPr>
          <w:sz w:val="28"/>
          <w:szCs w:val="28"/>
          <w:lang w:val="en-US"/>
        </w:rPr>
      </w:pPr>
    </w:p>
    <w:tbl>
      <w:tblPr>
        <w:tblW w:w="0" w:type="auto"/>
        <w:tblInd w:w="8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3740"/>
      </w:tblGrid>
      <w:tr w:rsidR="00D15F6C" w:rsidRPr="00A66F82" w:rsidTr="00AF19BC">
        <w:trPr>
          <w:trHeight w:val="280"/>
        </w:trPr>
        <w:tc>
          <w:tcPr>
            <w:tcW w:w="2120" w:type="dxa"/>
            <w:vAlign w:val="bottom"/>
          </w:tcPr>
          <w:p w:rsidR="00D15F6C" w:rsidRPr="00A66F82" w:rsidRDefault="00D15F6C" w:rsidP="00AF19BC">
            <w:pPr>
              <w:ind w:right="1890"/>
              <w:jc w:val="right"/>
              <w:rPr>
                <w:sz w:val="28"/>
                <w:szCs w:val="28"/>
                <w:lang w:val="en-US"/>
              </w:rPr>
            </w:pPr>
          </w:p>
        </w:tc>
        <w:tc>
          <w:tcPr>
            <w:tcW w:w="3740" w:type="dxa"/>
            <w:vAlign w:val="bottom"/>
          </w:tcPr>
          <w:p w:rsidR="00D15F6C" w:rsidRPr="00A66F82" w:rsidRDefault="00D15F6C" w:rsidP="00A66F82">
            <w:pPr>
              <w:rPr>
                <w:sz w:val="28"/>
                <w:szCs w:val="28"/>
              </w:rPr>
            </w:pPr>
          </w:p>
        </w:tc>
      </w:tr>
      <w:tr w:rsidR="00D15F6C" w:rsidTr="00AF19BC">
        <w:trPr>
          <w:trHeight w:val="458"/>
        </w:trPr>
        <w:tc>
          <w:tcPr>
            <w:tcW w:w="2120" w:type="dxa"/>
            <w:vAlign w:val="bottom"/>
          </w:tcPr>
          <w:p w:rsidR="00D15F6C" w:rsidRDefault="00D15F6C" w:rsidP="00A66F82">
            <w:pPr>
              <w:ind w:right="1890"/>
              <w:rPr>
                <w:sz w:val="20"/>
                <w:szCs w:val="20"/>
              </w:rPr>
            </w:pPr>
          </w:p>
        </w:tc>
        <w:tc>
          <w:tcPr>
            <w:tcW w:w="3740" w:type="dxa"/>
            <w:vAlign w:val="bottom"/>
          </w:tcPr>
          <w:p w:rsidR="00D15F6C" w:rsidRDefault="00D15F6C" w:rsidP="00AF19BC">
            <w:pPr>
              <w:rPr>
                <w:sz w:val="24"/>
                <w:szCs w:val="24"/>
              </w:rPr>
            </w:pPr>
          </w:p>
        </w:tc>
      </w:tr>
    </w:tbl>
    <w:p w:rsidR="00D15F6C" w:rsidRDefault="00260463" w:rsidP="00D15F6C">
      <w:pPr>
        <w:tabs>
          <w:tab w:val="left" w:pos="1340"/>
        </w:tabs>
        <w:rPr>
          <w:rFonts w:eastAsia="Times New Roman"/>
          <w:b/>
          <w:bCs/>
          <w:sz w:val="24"/>
          <w:szCs w:val="24"/>
          <w:lang w:val="en-US"/>
        </w:rPr>
      </w:pPr>
      <w:r>
        <w:rPr>
          <w:sz w:val="20"/>
          <w:szCs w:val="20"/>
        </w:rPr>
        <w:t xml:space="preserve">                          </w:t>
      </w:r>
      <w:r w:rsidR="00D15F6C" w:rsidRPr="00D15F6C">
        <w:rPr>
          <w:rFonts w:eastAsia="Times New Roman"/>
          <w:b/>
          <w:bCs/>
          <w:sz w:val="24"/>
          <w:szCs w:val="24"/>
          <w:lang w:val="en-US"/>
        </w:rPr>
        <w:t>Abstract</w:t>
      </w:r>
    </w:p>
    <w:p w:rsidR="00227F56" w:rsidRDefault="00227F56" w:rsidP="00D15F6C">
      <w:pPr>
        <w:tabs>
          <w:tab w:val="left" w:pos="1340"/>
        </w:tabs>
        <w:rPr>
          <w:rFonts w:eastAsia="Times New Roman"/>
          <w:b/>
          <w:bCs/>
          <w:sz w:val="24"/>
          <w:szCs w:val="24"/>
          <w:lang w:val="en-US"/>
        </w:rPr>
      </w:pPr>
    </w:p>
    <w:p w:rsidR="00D15F6C" w:rsidRPr="00D15F6C" w:rsidRDefault="00D15F6C" w:rsidP="00D15F6C">
      <w:pPr>
        <w:spacing w:line="184" w:lineRule="exact"/>
        <w:rPr>
          <w:rFonts w:ascii="Calibri" w:eastAsia="Calibri" w:hAnsi="Calibri" w:cs="Calibri"/>
          <w:lang w:val="en-US"/>
        </w:rPr>
      </w:pPr>
    </w:p>
    <w:p w:rsidR="00260463" w:rsidRDefault="00227F56" w:rsidP="00260463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sz w:val="21"/>
          <w:szCs w:val="21"/>
          <w:lang w:val="en-US"/>
        </w:rPr>
      </w:pPr>
      <w:r>
        <w:rPr>
          <w:rFonts w:eastAsia="Times New Roman"/>
          <w:sz w:val="23"/>
          <w:szCs w:val="23"/>
          <w:lang w:val="en-US"/>
        </w:rPr>
        <w:t xml:space="preserve">This retrospective study deals with </w:t>
      </w:r>
      <w:r w:rsidR="00D15F6C" w:rsidRPr="00BD7E2D">
        <w:rPr>
          <w:rFonts w:eastAsia="Times New Roman"/>
          <w:sz w:val="23"/>
          <w:szCs w:val="23"/>
          <w:lang w:val="en-US"/>
        </w:rPr>
        <w:t>the clinical presentation, intraoperative findings and surgical management</w:t>
      </w:r>
      <w:r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>
        <w:rPr>
          <w:rFonts w:eastAsia="Times New Roman"/>
          <w:sz w:val="24"/>
          <w:szCs w:val="24"/>
          <w:lang w:val="en-US"/>
        </w:rPr>
        <w:t>of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 </w:t>
      </w:r>
      <w:r>
        <w:rPr>
          <w:rFonts w:eastAsia="Times New Roman"/>
          <w:sz w:val="24"/>
          <w:szCs w:val="24"/>
          <w:lang w:val="en-US"/>
        </w:rPr>
        <w:t xml:space="preserve">262 operated cases of </w:t>
      </w:r>
      <w:r w:rsidR="00D15F6C" w:rsidRPr="00BD7E2D">
        <w:rPr>
          <w:rFonts w:eastAsia="Times New Roman"/>
          <w:sz w:val="24"/>
          <w:szCs w:val="24"/>
          <w:lang w:val="en-US"/>
        </w:rPr>
        <w:t>Meningo-encephalic-herniation (MEH) based on the etiology.</w:t>
      </w:r>
      <w:r w:rsidR="006741AF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D15F6C">
        <w:rPr>
          <w:rFonts w:eastAsia="Times New Roman"/>
          <w:sz w:val="24"/>
          <w:szCs w:val="24"/>
          <w:lang w:val="en-US"/>
        </w:rPr>
        <w:t>The data were</w:t>
      </w:r>
      <w:r w:rsidR="006741AF">
        <w:rPr>
          <w:rFonts w:ascii="Calibri" w:eastAsia="Calibri" w:hAnsi="Calibri" w:cs="Calibri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extracted regarding demographics, laterality, clinical presentation, past surgeries, contralateral-</w:t>
      </w:r>
      <w:r w:rsidR="006741AF">
        <w:rPr>
          <w:rFonts w:eastAsia="Times New Roman"/>
          <w:sz w:val="24"/>
          <w:szCs w:val="24"/>
          <w:lang w:val="en-US"/>
        </w:rPr>
        <w:t xml:space="preserve">ear condition, intraoperative </w:t>
      </w:r>
      <w:r w:rsidR="00D15F6C">
        <w:rPr>
          <w:rFonts w:eastAsia="Times New Roman"/>
          <w:sz w:val="24"/>
          <w:szCs w:val="24"/>
          <w:lang w:val="en-US"/>
        </w:rPr>
        <w:t xml:space="preserve">findings, complications, </w:t>
      </w:r>
      <w:r w:rsidR="00D15F6C" w:rsidRPr="00BD7E2D">
        <w:rPr>
          <w:rFonts w:eastAsia="Times New Roman"/>
          <w:sz w:val="24"/>
          <w:szCs w:val="24"/>
          <w:lang w:val="en-US"/>
        </w:rPr>
        <w:t>recurrences,</w:t>
      </w:r>
      <w:r w:rsidR="006741AF">
        <w:rPr>
          <w:sz w:val="20"/>
          <w:szCs w:val="20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revision-surgeries,</w:t>
      </w:r>
      <w:r w:rsidR="00D15F6C">
        <w:rPr>
          <w:rFonts w:eastAsia="Times New Roman"/>
          <w:sz w:val="23"/>
          <w:szCs w:val="23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audiometric-data and follow-up.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Lesions were categorized </w:t>
      </w:r>
      <w:r w:rsidR="00125D6C">
        <w:rPr>
          <w:rFonts w:eastAsia="Times New Roman"/>
          <w:sz w:val="24"/>
          <w:szCs w:val="24"/>
          <w:lang w:val="en-US"/>
        </w:rPr>
        <w:t>according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 the etiology as chronic-otitis-media with/without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cholesteatoma-MEH (COM/CHOL-MEH)-47.7%; iatrogenic-MEHs -20.9%; traumatic-MEHs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-8% and spontaneous-MEHs-23.3%. At presentation, hearing loss (100% and 98.2%) and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otorrhea (65.6% and 49.1%) were predominant in COM/CHOL-MEHs and iatrogenic-MEHs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4"/>
          <w:szCs w:val="24"/>
          <w:lang w:val="en-US"/>
        </w:rPr>
        <w:t>respectively. On the other hand, meningitis (23.9% and 14.3%) and cerebrospinal fluid-leak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  <w:r w:rsidR="00D15F6C" w:rsidRPr="00BD7E2D">
        <w:rPr>
          <w:rFonts w:eastAsia="Times New Roman"/>
          <w:sz w:val="23"/>
          <w:szCs w:val="23"/>
          <w:lang w:val="en-US"/>
        </w:rPr>
        <w:t>(52.4% and 42.8%) were more pronounced in spontaneous and traumatic MEHs, respectively.</w:t>
      </w:r>
      <w:r w:rsidR="00260463">
        <w:rPr>
          <w:rFonts w:ascii="Calibri" w:eastAsia="Calibri" w:hAnsi="Calibri" w:cs="Calibri"/>
          <w:sz w:val="21"/>
          <w:szCs w:val="21"/>
          <w:lang w:val="en-US"/>
        </w:rPr>
        <w:t xml:space="preserve"> </w:t>
      </w:r>
    </w:p>
    <w:p w:rsidR="00D15F6C" w:rsidRPr="00BD7E2D" w:rsidRDefault="00D15F6C" w:rsidP="00260463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eastAsia="Times New Roman"/>
          <w:sz w:val="23"/>
          <w:szCs w:val="23"/>
          <w:lang w:val="en-US"/>
        </w:rPr>
        <w:t>Surgical approaches included- 1) Transmastoid, 2) Middle-cranial-fossa-approach (MCFA), 3)</w:t>
      </w:r>
    </w:p>
    <w:p w:rsidR="00D15F6C" w:rsidRPr="00BD7E2D" w:rsidRDefault="00D15F6C" w:rsidP="00D15F6C">
      <w:pPr>
        <w:spacing w:line="137" w:lineRule="exact"/>
        <w:rPr>
          <w:sz w:val="20"/>
          <w:szCs w:val="20"/>
          <w:lang w:val="en-US"/>
        </w:rPr>
      </w:pPr>
    </w:p>
    <w:tbl>
      <w:tblPr>
        <w:tblW w:w="0" w:type="auto"/>
        <w:tblInd w:w="76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0"/>
        <w:gridCol w:w="9200"/>
      </w:tblGrid>
      <w:tr w:rsidR="00D15F6C" w:rsidRPr="00260463" w:rsidTr="00AF19BC">
        <w:trPr>
          <w:trHeight w:val="280"/>
        </w:trPr>
        <w:tc>
          <w:tcPr>
            <w:tcW w:w="400" w:type="dxa"/>
            <w:vAlign w:val="bottom"/>
          </w:tcPr>
          <w:p w:rsidR="00D15F6C" w:rsidRPr="00227F56" w:rsidRDefault="00D15F6C" w:rsidP="00AF19BC">
            <w:pPr>
              <w:ind w:right="70"/>
              <w:jc w:val="right"/>
              <w:rPr>
                <w:sz w:val="20"/>
                <w:szCs w:val="20"/>
                <w:lang w:val="en-US"/>
              </w:rPr>
            </w:pPr>
          </w:p>
        </w:tc>
        <w:tc>
          <w:tcPr>
            <w:tcW w:w="9200" w:type="dxa"/>
            <w:vAlign w:val="bottom"/>
          </w:tcPr>
          <w:p w:rsidR="00D15F6C" w:rsidRPr="00125D6C" w:rsidRDefault="00260463" w:rsidP="00D15F6C">
            <w:pPr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  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Combined and 4) Middle-ear-  obliteration(MEO) </w:t>
            </w:r>
            <w:r w:rsidR="00125D6C">
              <w:rPr>
                <w:rFonts w:eastAsia="Times New Roman"/>
                <w:sz w:val="24"/>
                <w:szCs w:val="24"/>
                <w:lang w:val="en-US"/>
              </w:rPr>
              <w:t xml:space="preserve">techniques.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A total of 52.8% </w:t>
            </w:r>
            <w:r w:rsidR="00D15F6C" w:rsidRPr="00D15F6C">
              <w:rPr>
                <w:rFonts w:eastAsia="Times New Roman"/>
                <w:sz w:val="24"/>
                <w:szCs w:val="24"/>
                <w:lang w:val="en-US"/>
              </w:rPr>
              <w:t>of</w:t>
            </w:r>
          </w:p>
        </w:tc>
      </w:tr>
      <w:tr w:rsidR="00D15F6C" w:rsidRPr="00125D6C" w:rsidTr="00AF19BC">
        <w:trPr>
          <w:trHeight w:val="415"/>
        </w:trPr>
        <w:tc>
          <w:tcPr>
            <w:tcW w:w="400" w:type="dxa"/>
            <w:vAlign w:val="bottom"/>
          </w:tcPr>
          <w:p w:rsidR="00D15F6C" w:rsidRPr="00260463" w:rsidRDefault="00D15F6C" w:rsidP="00125D6C">
            <w:pPr>
              <w:spacing w:line="360" w:lineRule="auto"/>
              <w:ind w:right="70"/>
              <w:jc w:val="right"/>
              <w:rPr>
                <w:sz w:val="20"/>
                <w:szCs w:val="20"/>
                <w:lang w:val="en-US"/>
              </w:rPr>
            </w:pPr>
            <w:r w:rsidRPr="00260463">
              <w:rPr>
                <w:rFonts w:ascii="Calibri" w:eastAsia="Calibri" w:hAnsi="Calibri" w:cs="Calibri"/>
                <w:w w:val="89"/>
                <w:lang w:val="en-US"/>
              </w:rPr>
              <w:t xml:space="preserve">   </w:t>
            </w:r>
          </w:p>
        </w:tc>
        <w:tc>
          <w:tcPr>
            <w:tcW w:w="9200" w:type="dxa"/>
            <w:vAlign w:val="bottom"/>
          </w:tcPr>
          <w:p w:rsidR="00D15F6C" w:rsidRPr="00125D6C" w:rsidRDefault="00125D6C" w:rsidP="00125D6C">
            <w:pPr>
              <w:spacing w:line="360" w:lineRule="auto"/>
              <w:rPr>
                <w:rFonts w:eastAsia="Times New Roman"/>
                <w:sz w:val="24"/>
                <w:szCs w:val="24"/>
                <w:lang w:val="en-US"/>
              </w:rPr>
            </w:pPr>
            <w:r>
              <w:rPr>
                <w:rFonts w:eastAsia="Times New Roman"/>
                <w:sz w:val="24"/>
                <w:szCs w:val="24"/>
                <w:lang w:val="en-US"/>
              </w:rPr>
              <w:t xml:space="preserve">  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COM/CHOL-MEHs and 49.1% of iatrogenic-MEHs underwent </w:t>
            </w:r>
            <w:r w:rsidR="00D15F6C" w:rsidRPr="00BD7E2D">
              <w:rPr>
                <w:rFonts w:eastAsia="Times New Roman"/>
                <w:sz w:val="24"/>
                <w:szCs w:val="24"/>
                <w:lang w:val="en-US"/>
              </w:rPr>
              <w:t xml:space="preserve">MEO.  </w:t>
            </w:r>
            <w:r w:rsidR="00D15F6C">
              <w:rPr>
                <w:rFonts w:eastAsia="Times New Roman"/>
                <w:sz w:val="24"/>
                <w:szCs w:val="24"/>
                <w:lang w:val="en-US"/>
              </w:rPr>
              <w:t xml:space="preserve">MCFA </w:t>
            </w:r>
            <w:r w:rsidR="00D15F6C" w:rsidRPr="00D15F6C">
              <w:rPr>
                <w:rFonts w:eastAsia="Times New Roman"/>
                <w:sz w:val="24"/>
                <w:szCs w:val="24"/>
                <w:lang w:val="en-US"/>
              </w:rPr>
              <w:t>was</w:t>
            </w:r>
          </w:p>
        </w:tc>
      </w:tr>
    </w:tbl>
    <w:p w:rsidR="00D15F6C" w:rsidRPr="00D15F6C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sz w:val="20"/>
          <w:szCs w:val="20"/>
          <w:lang w:val="en-US"/>
        </w:rPr>
        <w:t xml:space="preserve"> 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predominantly used in spontaneous-MEHs (52.5%) and traumatic-MEHs (38.1%). </w:t>
      </w:r>
      <w:r w:rsidR="00D15F6C" w:rsidRPr="00D15F6C">
        <w:rPr>
          <w:rFonts w:eastAsia="Times New Roman"/>
          <w:sz w:val="24"/>
          <w:szCs w:val="24"/>
          <w:lang w:val="en-US"/>
        </w:rPr>
        <w:t>The defect</w:t>
      </w:r>
    </w:p>
    <w:p w:rsidR="00125D6C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</w:t>
      </w:r>
      <w:r w:rsidR="00D15F6C">
        <w:rPr>
          <w:rFonts w:eastAsia="Times New Roman"/>
          <w:sz w:val="24"/>
          <w:szCs w:val="24"/>
          <w:lang w:val="en-US"/>
        </w:rPr>
        <w:t xml:space="preserve">was </w:t>
      </w:r>
      <w:r w:rsidR="00D15F6C" w:rsidRPr="00BD7E2D">
        <w:rPr>
          <w:rFonts w:eastAsia="Times New Roman"/>
          <w:sz w:val="24"/>
          <w:szCs w:val="24"/>
          <w:lang w:val="en-US"/>
        </w:rPr>
        <w:t>most</w:t>
      </w:r>
      <w:r w:rsidR="00D15F6C">
        <w:rPr>
          <w:rFonts w:eastAsia="Times New Roman"/>
          <w:sz w:val="24"/>
          <w:szCs w:val="24"/>
          <w:lang w:val="en-US"/>
        </w:rPr>
        <w:t>ly single (75.2%).  Smaller, multiple, bilateral lesions were more common</w:t>
      </w:r>
      <w:r w:rsidR="00D15F6C" w:rsidRPr="00BD7E2D">
        <w:rPr>
          <w:rFonts w:eastAsia="Times New Roman"/>
          <w:sz w:val="24"/>
          <w:szCs w:val="24"/>
          <w:lang w:val="en-US"/>
        </w:rPr>
        <w:t xml:space="preserve"> in</w:t>
      </w:r>
    </w:p>
    <w:p w:rsidR="00125D6C" w:rsidRPr="00125D6C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>spontaneous-MEHs with tegmen-tympani involvement (57.4%).</w:t>
      </w:r>
      <w:r w:rsidR="00D15F6C" w:rsidRPr="00BD7E2D">
        <w:rPr>
          <w:rFonts w:eastAsia="Times New Roman"/>
          <w:i/>
          <w:iCs/>
          <w:sz w:val="24"/>
          <w:szCs w:val="24"/>
          <w:lang w:val="en-US"/>
        </w:rPr>
        <w:t xml:space="preserve"> </w:t>
      </w:r>
    </w:p>
    <w:p w:rsidR="00D15F6C" w:rsidRPr="00BD7E2D" w:rsidRDefault="00D15F6C" w:rsidP="00125D6C">
      <w:pPr>
        <w:tabs>
          <w:tab w:val="left" w:pos="1340"/>
        </w:tabs>
        <w:spacing w:line="360" w:lineRule="auto"/>
        <w:ind w:left="1340"/>
        <w:rPr>
          <w:rFonts w:ascii="Calibri" w:eastAsia="Calibri" w:hAnsi="Calibri" w:cs="Calibri"/>
          <w:lang w:val="en-US"/>
        </w:rPr>
      </w:pPr>
      <w:r w:rsidRPr="00BD7E2D">
        <w:rPr>
          <w:rFonts w:eastAsia="Times New Roman"/>
          <w:sz w:val="24"/>
          <w:szCs w:val="24"/>
          <w:lang w:val="en-US"/>
        </w:rPr>
        <w:t>Incorporating etiology into MEHs is a key-step which can be used as a guidance</w:t>
      </w:r>
    </w:p>
    <w:p w:rsidR="00D15F6C" w:rsidRPr="00BD7E2D" w:rsidRDefault="00125D6C" w:rsidP="00125D6C">
      <w:pPr>
        <w:tabs>
          <w:tab w:val="left" w:pos="1340"/>
        </w:tabs>
        <w:spacing w:line="360" w:lineRule="auto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>in choosing the right surgery. MEO is a part of armamentarium, and should be used whenever</w:t>
      </w:r>
    </w:p>
    <w:p w:rsidR="00D15F6C" w:rsidRPr="00BD7E2D" w:rsidRDefault="00125D6C" w:rsidP="00125D6C">
      <w:pPr>
        <w:tabs>
          <w:tab w:val="left" w:pos="1340"/>
        </w:tabs>
        <w:spacing w:line="360" w:lineRule="auto"/>
        <w:ind w:right="-272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            </w:t>
      </w:r>
      <w:r w:rsidR="00D15F6C" w:rsidRPr="00BD7E2D">
        <w:rPr>
          <w:rFonts w:eastAsia="Times New Roman"/>
          <w:sz w:val="24"/>
          <w:szCs w:val="24"/>
          <w:lang w:val="en-US"/>
        </w:rPr>
        <w:t>needed, if the objective is performing a definitive surgery.</w:t>
      </w:r>
    </w:p>
    <w:p w:rsidR="00D15F6C" w:rsidRDefault="00260463" w:rsidP="00D15F6C">
      <w:pPr>
        <w:rPr>
          <w:lang w:val="en-US"/>
        </w:rPr>
      </w:pPr>
      <w:r>
        <w:t xml:space="preserve">                        </w:t>
      </w:r>
      <w:r w:rsidRPr="008A06BB">
        <w:drawing>
          <wp:inline distT="0" distB="0" distL="0" distR="0" wp14:anchorId="3DC7C3A5" wp14:editId="33A95EB8">
            <wp:extent cx="3190875" cy="2585039"/>
            <wp:effectExtent l="0" t="0" r="0" b="6350"/>
            <wp:docPr id="4" name="Content Placeholder 3">
              <a:extLst xmlns:a="http://schemas.openxmlformats.org/drawingml/2006/main">
                <a:ext uri="{FF2B5EF4-FFF2-40B4-BE49-F238E27FC236}">
                  <a16:creationId xmlns:a16="http://schemas.microsoft.com/office/drawing/2014/main" id="{A217F058-0DC1-4402-8AD0-30D463AA8B44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ontent Placeholder 3">
                      <a:extLst>
                        <a:ext uri="{FF2B5EF4-FFF2-40B4-BE49-F238E27FC236}">
                          <a16:creationId xmlns:a16="http://schemas.microsoft.com/office/drawing/2014/main" id="{A217F058-0DC1-4402-8AD0-30D463AA8B44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5"/>
                    <a:srcRect l="28597" t="25960" r="30822" b="15566"/>
                    <a:stretch/>
                  </pic:blipFill>
                  <pic:spPr>
                    <a:xfrm>
                      <a:off x="0" y="0"/>
                      <a:ext cx="3207822" cy="2598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40722" w:rsidRDefault="008A06BB" w:rsidP="00240722">
      <w:pPr>
        <w:rPr>
          <w:lang w:val="en-US"/>
        </w:rPr>
      </w:pPr>
      <w:r>
        <w:rPr>
          <w:lang w:val="en-US"/>
        </w:rPr>
        <w:t xml:space="preserve">   </w:t>
      </w:r>
      <w:r w:rsidR="00240722" w:rsidRPr="00240722">
        <w:rPr>
          <w:lang w:val="en-US"/>
        </w:rPr>
        <w:t xml:space="preserve">                     </w:t>
      </w:r>
    </w:p>
    <w:p w:rsidR="00240722" w:rsidRPr="00240722" w:rsidRDefault="00240722" w:rsidP="00240722">
      <w:pPr>
        <w:rPr>
          <w:lang w:val="en-US"/>
        </w:rPr>
      </w:pPr>
      <w:r>
        <w:rPr>
          <w:lang w:val="en-US"/>
        </w:rPr>
        <w:t xml:space="preserve">                        </w:t>
      </w:r>
      <w:r>
        <w:rPr>
          <w:b/>
          <w:bCs/>
          <w:lang w:val="en-GB"/>
        </w:rPr>
        <w:t>Figure 1</w:t>
      </w:r>
      <w:r w:rsidRPr="00240722">
        <w:rPr>
          <w:b/>
          <w:bCs/>
          <w:lang w:val="en-GB"/>
        </w:rPr>
        <w:t>: Surgical approaches followed in MEH</w:t>
      </w:r>
    </w:p>
    <w:p w:rsidR="008A06BB" w:rsidRPr="00BD7E2D" w:rsidRDefault="008A06BB" w:rsidP="00D15F6C">
      <w:pPr>
        <w:rPr>
          <w:lang w:val="en-US"/>
        </w:rPr>
        <w:sectPr w:rsidR="008A06BB" w:rsidRPr="00BD7E2D">
          <w:pgSz w:w="11900" w:h="16838"/>
          <w:pgMar w:top="24" w:right="1440" w:bottom="1440" w:left="100" w:header="0" w:footer="0" w:gutter="0"/>
          <w:cols w:space="720" w:equalWidth="0">
            <w:col w:w="10366"/>
          </w:cols>
        </w:sectPr>
      </w:pPr>
    </w:p>
    <w:p w:rsidR="00260463" w:rsidRPr="00260463" w:rsidRDefault="00A66F82" w:rsidP="00260463">
      <w:pPr>
        <w:rPr>
          <w:rFonts w:ascii="Arial"/>
          <w:b/>
          <w:color w:val="BF5A14"/>
          <w:sz w:val="20"/>
          <w:lang w:val="en-US"/>
        </w:rPr>
      </w:pPr>
      <w:bookmarkStart w:id="1" w:name="page6"/>
      <w:bookmarkEnd w:id="1"/>
      <w:r w:rsidRPr="00260463">
        <w:rPr>
          <w:rFonts w:ascii="Arial"/>
          <w:b/>
          <w:color w:val="BF5A14"/>
          <w:sz w:val="20"/>
          <w:lang w:val="en-US"/>
        </w:rPr>
        <w:lastRenderedPageBreak/>
        <w:t>Recent Publications</w:t>
      </w:r>
    </w:p>
    <w:p w:rsidR="00260463" w:rsidRPr="00260463" w:rsidRDefault="00260463" w:rsidP="00260463">
      <w:pPr>
        <w:pStyle w:val="ListParagraph"/>
        <w:numPr>
          <w:ilvl w:val="0"/>
          <w:numId w:val="7"/>
        </w:numPr>
        <w:rPr>
          <w:rFonts w:ascii="Arial"/>
          <w:b/>
          <w:color w:val="BF5A14"/>
          <w:sz w:val="20"/>
          <w:lang w:val="en-US"/>
        </w:rPr>
      </w:pPr>
      <w:r w:rsidRPr="00260463">
        <w:rPr>
          <w:rFonts w:ascii="Calibri" w:eastAsia="Calibri" w:hAnsi="Calibri" w:cs="Calibri"/>
          <w:lang w:val="en-US"/>
        </w:rPr>
        <w:t xml:space="preserve">Semaan MT, Gilpin DA, Hsu DP, </w:t>
      </w:r>
      <w:proofErr w:type="spellStart"/>
      <w:r w:rsidRPr="00260463">
        <w:rPr>
          <w:rFonts w:ascii="Calibri" w:eastAsia="Calibri" w:hAnsi="Calibri" w:cs="Calibri"/>
          <w:lang w:val="en-US"/>
        </w:rPr>
        <w:t>Wasman</w:t>
      </w:r>
      <w:proofErr w:type="spellEnd"/>
      <w:r w:rsidRPr="00260463">
        <w:rPr>
          <w:rFonts w:ascii="Calibri" w:eastAsia="Calibri" w:hAnsi="Calibri" w:cs="Calibri"/>
          <w:lang w:val="en-US"/>
        </w:rPr>
        <w:t xml:space="preserve"> JK, </w:t>
      </w:r>
      <w:proofErr w:type="spellStart"/>
      <w:r w:rsidRPr="00260463">
        <w:rPr>
          <w:rFonts w:ascii="Calibri" w:eastAsia="Calibri" w:hAnsi="Calibri" w:cs="Calibri"/>
          <w:lang w:val="en-US"/>
        </w:rPr>
        <w:t>Megerian</w:t>
      </w:r>
      <w:proofErr w:type="spellEnd"/>
      <w:r w:rsidRPr="00260463">
        <w:rPr>
          <w:rFonts w:ascii="Calibri" w:eastAsia="Calibri" w:hAnsi="Calibri" w:cs="Calibri"/>
          <w:lang w:val="en-US"/>
        </w:rPr>
        <w:t xml:space="preserve"> CA. Transmastoid extradural-</w:t>
      </w:r>
    </w:p>
    <w:p w:rsidR="00260463" w:rsidRPr="00BD7E2D" w:rsidRDefault="00260463" w:rsidP="00260463">
      <w:pPr>
        <w:tabs>
          <w:tab w:val="left" w:pos="1420"/>
        </w:tabs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 </w:t>
      </w:r>
      <w:r w:rsidRPr="00BD7E2D">
        <w:rPr>
          <w:rFonts w:ascii="Calibri" w:eastAsia="Calibri" w:hAnsi="Calibri" w:cs="Calibri"/>
          <w:lang w:val="en-US"/>
        </w:rPr>
        <w:t xml:space="preserve">intracranial approach for repair of </w:t>
      </w:r>
      <w:proofErr w:type="spellStart"/>
      <w:r w:rsidRPr="00BD7E2D">
        <w:rPr>
          <w:rFonts w:ascii="Calibri" w:eastAsia="Calibri" w:hAnsi="Calibri" w:cs="Calibri"/>
          <w:lang w:val="en-US"/>
        </w:rPr>
        <w:t>transtemporal</w:t>
      </w:r>
      <w:proofErr w:type="spellEnd"/>
      <w:r w:rsidRPr="00BD7E2D">
        <w:rPr>
          <w:rFonts w:ascii="Calibri" w:eastAsia="Calibri" w:hAnsi="Calibri" w:cs="Calibri"/>
          <w:lang w:val="en-US"/>
        </w:rPr>
        <w:t xml:space="preserve"> meningoencephalocele: a review of 31</w:t>
      </w:r>
    </w:p>
    <w:p w:rsidR="00260463" w:rsidRDefault="00260463" w:rsidP="00260463">
      <w:pPr>
        <w:tabs>
          <w:tab w:val="left" w:pos="1420"/>
        </w:tabs>
        <w:ind w:left="2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lang w:val="en-US"/>
        </w:rPr>
        <w:t xml:space="preserve">              </w:t>
      </w:r>
      <w:r>
        <w:rPr>
          <w:rFonts w:ascii="Calibri" w:eastAsia="Calibri" w:hAnsi="Calibri" w:cs="Calibri"/>
        </w:rPr>
        <w:t xml:space="preserve">consecutive cases. </w:t>
      </w:r>
      <w:r>
        <w:rPr>
          <w:rFonts w:ascii="Calibri" w:eastAsia="Calibri" w:hAnsi="Calibri" w:cs="Calibri"/>
          <w:i/>
          <w:iCs/>
        </w:rPr>
        <w:t>The Laryngoscope.</w:t>
      </w:r>
      <w:r>
        <w:rPr>
          <w:rFonts w:ascii="Calibri" w:eastAsia="Calibri" w:hAnsi="Calibri" w:cs="Calibri"/>
        </w:rPr>
        <w:t xml:space="preserve"> 2011;121(8):1765-1772.</w:t>
      </w:r>
    </w:p>
    <w:p w:rsidR="00260463" w:rsidRPr="00BD7E2D" w:rsidRDefault="00260463" w:rsidP="00260463">
      <w:pPr>
        <w:numPr>
          <w:ilvl w:val="0"/>
          <w:numId w:val="7"/>
        </w:numPr>
        <w:tabs>
          <w:tab w:val="left" w:pos="700"/>
        </w:tabs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lang w:val="en-US"/>
        </w:rPr>
        <w:t>Stucken EZ, Selesnick SH, Brown KD. The role of obesity in spontaneous temporal bone</w:t>
      </w:r>
    </w:p>
    <w:p w:rsidR="00260463" w:rsidRDefault="00260463" w:rsidP="00260463">
      <w:pPr>
        <w:tabs>
          <w:tab w:val="left" w:pos="1420"/>
        </w:tabs>
        <w:ind w:left="720"/>
        <w:rPr>
          <w:rFonts w:ascii="Calibri" w:eastAsia="Calibri" w:hAnsi="Calibri" w:cs="Calibri"/>
        </w:rPr>
      </w:pPr>
      <w:r w:rsidRPr="00BD7E2D">
        <w:rPr>
          <w:rFonts w:ascii="Calibri" w:eastAsia="Calibri" w:hAnsi="Calibri" w:cs="Calibri"/>
          <w:lang w:val="en-US"/>
        </w:rPr>
        <w:t xml:space="preserve">encephaloceles and CSF leak. </w:t>
      </w:r>
      <w:proofErr w:type="spellStart"/>
      <w:r w:rsidRPr="00BD7E2D">
        <w:rPr>
          <w:rFonts w:ascii="Calibri" w:eastAsia="Calibri" w:hAnsi="Calibri" w:cs="Calibri"/>
          <w:i/>
          <w:iCs/>
          <w:lang w:val="en-US"/>
        </w:rPr>
        <w:t>Otol</w:t>
      </w:r>
      <w:proofErr w:type="spellEnd"/>
      <w:r w:rsidRPr="00BD7E2D">
        <w:rPr>
          <w:rFonts w:ascii="Calibri" w:eastAsia="Calibri" w:hAnsi="Calibri" w:cs="Calibri"/>
          <w:i/>
          <w:iCs/>
          <w:lang w:val="en-US"/>
        </w:rPr>
        <w:t xml:space="preserve"> </w:t>
      </w:r>
      <w:proofErr w:type="spellStart"/>
      <w:r w:rsidRPr="00BD7E2D">
        <w:rPr>
          <w:rFonts w:ascii="Calibri" w:eastAsia="Calibri" w:hAnsi="Calibri" w:cs="Calibri"/>
          <w:i/>
          <w:iCs/>
          <w:lang w:val="en-US"/>
        </w:rPr>
        <w:t>Neurotol</w:t>
      </w:r>
      <w:proofErr w:type="spellEnd"/>
      <w:r w:rsidRPr="00BD7E2D">
        <w:rPr>
          <w:rFonts w:ascii="Calibri" w:eastAsia="Calibri" w:hAnsi="Calibri" w:cs="Calibri"/>
          <w:i/>
          <w:iCs/>
          <w:lang w:val="en-US"/>
        </w:rPr>
        <w:t>.</w:t>
      </w:r>
      <w:r w:rsidRPr="00BD7E2D">
        <w:rPr>
          <w:rFonts w:ascii="Calibri" w:eastAsia="Calibri" w:hAnsi="Calibri" w:cs="Calibri"/>
          <w:lang w:val="en-US"/>
        </w:rPr>
        <w:t xml:space="preserve"> </w:t>
      </w:r>
      <w:r>
        <w:rPr>
          <w:rFonts w:ascii="Calibri" w:eastAsia="Calibri" w:hAnsi="Calibri" w:cs="Calibri"/>
        </w:rPr>
        <w:t>2012;33(8):1412-1417.</w:t>
      </w:r>
    </w:p>
    <w:p w:rsidR="00260463" w:rsidRPr="00BD7E2D" w:rsidRDefault="00260463" w:rsidP="00260463">
      <w:pPr>
        <w:numPr>
          <w:ilvl w:val="0"/>
          <w:numId w:val="7"/>
        </w:numPr>
        <w:tabs>
          <w:tab w:val="left" w:pos="700"/>
        </w:tabs>
        <w:spacing w:line="238" w:lineRule="auto"/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lang w:val="en-US"/>
        </w:rPr>
        <w:t xml:space="preserve">Kari E, Mattox DE. </w:t>
      </w:r>
      <w:proofErr w:type="spellStart"/>
      <w:r w:rsidRPr="00BD7E2D">
        <w:rPr>
          <w:rFonts w:ascii="Calibri" w:eastAsia="Calibri" w:hAnsi="Calibri" w:cs="Calibri"/>
          <w:lang w:val="en-US"/>
        </w:rPr>
        <w:t>Transtemporal</w:t>
      </w:r>
      <w:proofErr w:type="spellEnd"/>
      <w:r w:rsidRPr="00BD7E2D">
        <w:rPr>
          <w:rFonts w:ascii="Calibri" w:eastAsia="Calibri" w:hAnsi="Calibri" w:cs="Calibri"/>
          <w:lang w:val="en-US"/>
        </w:rPr>
        <w:t xml:space="preserve"> management of temporal bone encephaloceles and CSF</w:t>
      </w:r>
    </w:p>
    <w:p w:rsidR="00260463" w:rsidRPr="00260463" w:rsidRDefault="00260463" w:rsidP="00260463">
      <w:pPr>
        <w:tabs>
          <w:tab w:val="left" w:pos="1420"/>
        </w:tabs>
        <w:ind w:left="720"/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lang w:val="en-US"/>
        </w:rPr>
        <w:t xml:space="preserve">leaks: review of 56 consecutive patients. </w:t>
      </w:r>
      <w:r w:rsidRPr="00260463">
        <w:rPr>
          <w:rFonts w:ascii="Calibri" w:eastAsia="Calibri" w:hAnsi="Calibri" w:cs="Calibri"/>
          <w:i/>
          <w:iCs/>
          <w:lang w:val="en-US"/>
        </w:rPr>
        <w:t xml:space="preserve">Acta </w:t>
      </w:r>
      <w:proofErr w:type="spellStart"/>
      <w:r w:rsidRPr="00260463">
        <w:rPr>
          <w:rFonts w:ascii="Calibri" w:eastAsia="Calibri" w:hAnsi="Calibri" w:cs="Calibri"/>
          <w:i/>
          <w:iCs/>
          <w:lang w:val="en-US"/>
        </w:rPr>
        <w:t>Otolaryngol</w:t>
      </w:r>
      <w:proofErr w:type="spellEnd"/>
      <w:r w:rsidRPr="00260463">
        <w:rPr>
          <w:rFonts w:ascii="Calibri" w:eastAsia="Calibri" w:hAnsi="Calibri" w:cs="Calibri"/>
          <w:i/>
          <w:iCs/>
          <w:lang w:val="en-US"/>
        </w:rPr>
        <w:t>.</w:t>
      </w:r>
      <w:r w:rsidRPr="00260463">
        <w:rPr>
          <w:rFonts w:ascii="Calibri" w:eastAsia="Calibri" w:hAnsi="Calibri" w:cs="Calibri"/>
          <w:lang w:val="en-US"/>
        </w:rPr>
        <w:t xml:space="preserve"> 2011;131(4):391-394.</w:t>
      </w:r>
    </w:p>
    <w:p w:rsidR="002A55F6" w:rsidRPr="00BD7E2D" w:rsidRDefault="002A55F6" w:rsidP="002A55F6">
      <w:pPr>
        <w:numPr>
          <w:ilvl w:val="0"/>
          <w:numId w:val="7"/>
        </w:numPr>
        <w:tabs>
          <w:tab w:val="left" w:pos="700"/>
        </w:tabs>
        <w:rPr>
          <w:rFonts w:ascii="Calibri" w:eastAsia="Calibri" w:hAnsi="Calibri" w:cs="Calibri"/>
          <w:lang w:val="en-US"/>
        </w:rPr>
      </w:pPr>
      <w:r w:rsidRPr="00BD7E2D">
        <w:rPr>
          <w:rFonts w:ascii="Calibri" w:eastAsia="Calibri" w:hAnsi="Calibri" w:cs="Calibri"/>
          <w:sz w:val="21"/>
          <w:szCs w:val="21"/>
          <w:lang w:val="en-US"/>
        </w:rPr>
        <w:t>O'Connell BP, Hunter JB, Sweeney AD, et al. Outcomes of the Suture "Pull-Through" Technique</w:t>
      </w:r>
    </w:p>
    <w:p w:rsidR="002A55F6" w:rsidRPr="00BD7E2D" w:rsidRDefault="002A55F6" w:rsidP="002A55F6">
      <w:pPr>
        <w:spacing w:line="12" w:lineRule="exact"/>
        <w:rPr>
          <w:rFonts w:ascii="Calibri" w:eastAsia="Calibri" w:hAnsi="Calibri" w:cs="Calibri"/>
          <w:lang w:val="en-US"/>
        </w:rPr>
      </w:pPr>
    </w:p>
    <w:p w:rsidR="002A55F6" w:rsidRPr="002A55F6" w:rsidRDefault="002A55F6" w:rsidP="002A55F6">
      <w:pPr>
        <w:tabs>
          <w:tab w:val="left" w:pos="1420"/>
        </w:tabs>
        <w:ind w:left="720"/>
        <w:rPr>
          <w:rFonts w:ascii="Calibri" w:eastAsia="Calibri" w:hAnsi="Calibri" w:cs="Calibri"/>
          <w:sz w:val="21"/>
          <w:szCs w:val="21"/>
          <w:lang w:val="en-US"/>
        </w:rPr>
      </w:pPr>
      <w:r w:rsidRPr="00BD7E2D">
        <w:rPr>
          <w:rFonts w:ascii="Calibri" w:eastAsia="Calibri" w:hAnsi="Calibri" w:cs="Calibri"/>
          <w:sz w:val="21"/>
          <w:szCs w:val="21"/>
          <w:lang w:val="en-US"/>
        </w:rPr>
        <w:t xml:space="preserve">for Repair of Lateral Skull Base CSF Fistula and Encephaloceles. </w:t>
      </w:r>
      <w:proofErr w:type="spellStart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>Otol</w:t>
      </w:r>
      <w:proofErr w:type="spellEnd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 xml:space="preserve"> </w:t>
      </w:r>
      <w:proofErr w:type="spellStart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>Neurotol</w:t>
      </w:r>
      <w:proofErr w:type="spellEnd"/>
      <w:r w:rsidRPr="002A55F6">
        <w:rPr>
          <w:rFonts w:ascii="Calibri" w:eastAsia="Calibri" w:hAnsi="Calibri" w:cs="Calibri"/>
          <w:i/>
          <w:iCs/>
          <w:sz w:val="21"/>
          <w:szCs w:val="21"/>
          <w:lang w:val="en-US"/>
        </w:rPr>
        <w:t>.</w:t>
      </w:r>
      <w:r w:rsidRPr="002A55F6">
        <w:rPr>
          <w:rFonts w:ascii="Calibri" w:eastAsia="Calibri" w:hAnsi="Calibri" w:cs="Calibri"/>
          <w:sz w:val="21"/>
          <w:szCs w:val="21"/>
          <w:lang w:val="en-US"/>
        </w:rPr>
        <w:t xml:space="preserve"> 2017;38(3):416-</w:t>
      </w:r>
      <w:bookmarkStart w:id="2" w:name="_GoBack"/>
      <w:bookmarkEnd w:id="2"/>
      <w:r>
        <w:rPr>
          <w:rFonts w:ascii="Calibri" w:eastAsia="Calibri" w:hAnsi="Calibri" w:cs="Calibri"/>
          <w:lang w:val="en-US"/>
        </w:rPr>
        <w:t>422.</w:t>
      </w:r>
    </w:p>
    <w:p w:rsidR="002A55F6" w:rsidRPr="00BD7E2D" w:rsidRDefault="002A55F6" w:rsidP="002A55F6">
      <w:pPr>
        <w:tabs>
          <w:tab w:val="left" w:pos="1420"/>
        </w:tabs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5.   </w:t>
      </w:r>
      <w:r w:rsidRPr="00BD7E2D">
        <w:rPr>
          <w:rFonts w:ascii="Calibri" w:eastAsia="Calibri" w:hAnsi="Calibri" w:cs="Calibri"/>
          <w:lang w:val="en-US"/>
        </w:rPr>
        <w:t>Jeevan DS, Ormond DR, Kim AH, et al. Cerebrospinal fluid leaks and encephaloceles of</w:t>
      </w:r>
    </w:p>
    <w:p w:rsidR="002A55F6" w:rsidRPr="002A55F6" w:rsidRDefault="002A55F6" w:rsidP="002A55F6">
      <w:pPr>
        <w:tabs>
          <w:tab w:val="left" w:pos="1418"/>
        </w:tabs>
        <w:ind w:right="-568"/>
        <w:rPr>
          <w:rFonts w:ascii="Calibri" w:eastAsia="Calibri" w:hAnsi="Calibri" w:cs="Calibri"/>
          <w:lang w:val="en-US"/>
        </w:rPr>
      </w:pPr>
      <w:r>
        <w:rPr>
          <w:rFonts w:ascii="Calibri" w:eastAsia="Calibri" w:hAnsi="Calibri" w:cs="Calibri"/>
          <w:lang w:val="en-US"/>
        </w:rPr>
        <w:t xml:space="preserve">              </w:t>
      </w:r>
      <w:r w:rsidRPr="00BD7E2D">
        <w:rPr>
          <w:rFonts w:ascii="Calibri" w:eastAsia="Calibri" w:hAnsi="Calibri" w:cs="Calibri"/>
          <w:lang w:val="en-US"/>
        </w:rPr>
        <w:t xml:space="preserve">temporal  bone  origin:  nuances  to  diagnosis  and  management.  </w:t>
      </w:r>
      <w:r>
        <w:rPr>
          <w:rFonts w:ascii="Calibri" w:eastAsia="Calibri" w:hAnsi="Calibri" w:cs="Calibri"/>
          <w:i/>
          <w:iCs/>
          <w:lang w:val="en-US"/>
        </w:rPr>
        <w:t xml:space="preserve">World  </w:t>
      </w:r>
      <w:proofErr w:type="spellStart"/>
      <w:r w:rsidRPr="002A55F6">
        <w:rPr>
          <w:rFonts w:ascii="Calibri" w:eastAsia="Calibri" w:hAnsi="Calibri" w:cs="Calibri"/>
          <w:i/>
          <w:iCs/>
          <w:lang w:val="en-US"/>
        </w:rPr>
        <w:t>Neurosurg</w:t>
      </w:r>
      <w:proofErr w:type="spellEnd"/>
      <w:r w:rsidRPr="002A55F6">
        <w:rPr>
          <w:rFonts w:ascii="Calibri" w:eastAsia="Calibri" w:hAnsi="Calibri" w:cs="Calibri"/>
          <w:i/>
          <w:iCs/>
          <w:lang w:val="en-US"/>
        </w:rPr>
        <w:t>.</w:t>
      </w:r>
      <w:r>
        <w:rPr>
          <w:rFonts w:ascii="Calibri" w:eastAsia="Calibri" w:hAnsi="Calibri" w:cs="Calibri"/>
        </w:rPr>
        <w:t>2015;83(4):560-566.</w:t>
      </w:r>
    </w:p>
    <w:p w:rsidR="002A55F6" w:rsidRPr="002A55F6" w:rsidRDefault="002A55F6" w:rsidP="002A55F6">
      <w:pPr>
        <w:tabs>
          <w:tab w:val="left" w:pos="1420"/>
        </w:tabs>
        <w:ind w:left="720"/>
        <w:rPr>
          <w:rFonts w:ascii="Calibri" w:eastAsia="Calibri" w:hAnsi="Calibri" w:cs="Calibri"/>
          <w:lang w:val="en-US"/>
        </w:rPr>
      </w:pPr>
    </w:p>
    <w:p w:rsidR="00260463" w:rsidRPr="00260463" w:rsidRDefault="00260463" w:rsidP="002A55F6">
      <w:pPr>
        <w:pStyle w:val="ListParagraph"/>
        <w:tabs>
          <w:tab w:val="left" w:pos="1420"/>
        </w:tabs>
        <w:rPr>
          <w:rFonts w:ascii="Calibri" w:eastAsia="Calibri" w:hAnsi="Calibri" w:cs="Calibri"/>
          <w:lang w:val="en-US"/>
        </w:rPr>
      </w:pPr>
    </w:p>
    <w:p w:rsidR="00260463" w:rsidRPr="00240722" w:rsidRDefault="00260463">
      <w:pPr>
        <w:rPr>
          <w:lang w:val="en-US"/>
        </w:rPr>
      </w:pPr>
    </w:p>
    <w:sectPr w:rsidR="00260463" w:rsidRPr="0024072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FF521"/>
    <w:multiLevelType w:val="hybridMultilevel"/>
    <w:tmpl w:val="F30A7E4E"/>
    <w:lvl w:ilvl="0" w:tplc="F20442E6">
      <w:start w:val="434"/>
      <w:numFmt w:val="decimal"/>
      <w:lvlText w:val="%1"/>
      <w:lvlJc w:val="left"/>
    </w:lvl>
    <w:lvl w:ilvl="1" w:tplc="BF5A7272">
      <w:numFmt w:val="decimal"/>
      <w:lvlText w:val=""/>
      <w:lvlJc w:val="left"/>
    </w:lvl>
    <w:lvl w:ilvl="2" w:tplc="E2603192">
      <w:numFmt w:val="decimal"/>
      <w:lvlText w:val=""/>
      <w:lvlJc w:val="left"/>
    </w:lvl>
    <w:lvl w:ilvl="3" w:tplc="2558FCE2">
      <w:numFmt w:val="decimal"/>
      <w:lvlText w:val=""/>
      <w:lvlJc w:val="left"/>
    </w:lvl>
    <w:lvl w:ilvl="4" w:tplc="F4FE3818">
      <w:numFmt w:val="decimal"/>
      <w:lvlText w:val=""/>
      <w:lvlJc w:val="left"/>
    </w:lvl>
    <w:lvl w:ilvl="5" w:tplc="6AEAF96E">
      <w:numFmt w:val="decimal"/>
      <w:lvlText w:val=""/>
      <w:lvlJc w:val="left"/>
    </w:lvl>
    <w:lvl w:ilvl="6" w:tplc="73D4E6EE">
      <w:numFmt w:val="decimal"/>
      <w:lvlText w:val=""/>
      <w:lvlJc w:val="left"/>
    </w:lvl>
    <w:lvl w:ilvl="7" w:tplc="C72A2AB2">
      <w:numFmt w:val="decimal"/>
      <w:lvlText w:val=""/>
      <w:lvlJc w:val="left"/>
    </w:lvl>
    <w:lvl w:ilvl="8" w:tplc="796825CA">
      <w:numFmt w:val="decimal"/>
      <w:lvlText w:val=""/>
      <w:lvlJc w:val="left"/>
    </w:lvl>
  </w:abstractNum>
  <w:abstractNum w:abstractNumId="1" w15:restartNumberingAfterBreak="0">
    <w:nsid w:val="25E45D32"/>
    <w:multiLevelType w:val="hybridMultilevel"/>
    <w:tmpl w:val="2EDE6E3E"/>
    <w:lvl w:ilvl="0" w:tplc="A38A61AE">
      <w:start w:val="2"/>
      <w:numFmt w:val="decimal"/>
      <w:lvlText w:val="%1"/>
      <w:lvlJc w:val="left"/>
    </w:lvl>
    <w:lvl w:ilvl="1" w:tplc="D568729A">
      <w:numFmt w:val="decimal"/>
      <w:lvlText w:val=""/>
      <w:lvlJc w:val="left"/>
    </w:lvl>
    <w:lvl w:ilvl="2" w:tplc="DF9CE49E">
      <w:numFmt w:val="decimal"/>
      <w:lvlText w:val=""/>
      <w:lvlJc w:val="left"/>
    </w:lvl>
    <w:lvl w:ilvl="3" w:tplc="067646DC">
      <w:numFmt w:val="decimal"/>
      <w:lvlText w:val=""/>
      <w:lvlJc w:val="left"/>
    </w:lvl>
    <w:lvl w:ilvl="4" w:tplc="DA3E3160">
      <w:numFmt w:val="decimal"/>
      <w:lvlText w:val=""/>
      <w:lvlJc w:val="left"/>
    </w:lvl>
    <w:lvl w:ilvl="5" w:tplc="BE2C1D6A">
      <w:numFmt w:val="decimal"/>
      <w:lvlText w:val=""/>
      <w:lvlJc w:val="left"/>
    </w:lvl>
    <w:lvl w:ilvl="6" w:tplc="B11E3776">
      <w:numFmt w:val="decimal"/>
      <w:lvlText w:val=""/>
      <w:lvlJc w:val="left"/>
    </w:lvl>
    <w:lvl w:ilvl="7" w:tplc="313EA7A6">
      <w:numFmt w:val="decimal"/>
      <w:lvlText w:val=""/>
      <w:lvlJc w:val="left"/>
    </w:lvl>
    <w:lvl w:ilvl="8" w:tplc="38F68A7C">
      <w:numFmt w:val="decimal"/>
      <w:lvlText w:val=""/>
      <w:lvlJc w:val="left"/>
    </w:lvl>
  </w:abstractNum>
  <w:abstractNum w:abstractNumId="2" w15:restartNumberingAfterBreak="0">
    <w:nsid w:val="3F2DBA31"/>
    <w:multiLevelType w:val="hybridMultilevel"/>
    <w:tmpl w:val="D14E49F0"/>
    <w:lvl w:ilvl="0" w:tplc="FF52817A">
      <w:start w:val="25"/>
      <w:numFmt w:val="decimal"/>
      <w:lvlText w:val="%1"/>
      <w:lvlJc w:val="left"/>
    </w:lvl>
    <w:lvl w:ilvl="1" w:tplc="ABAEC304">
      <w:numFmt w:val="decimal"/>
      <w:lvlText w:val=""/>
      <w:lvlJc w:val="left"/>
    </w:lvl>
    <w:lvl w:ilvl="2" w:tplc="ED52FFB4">
      <w:numFmt w:val="decimal"/>
      <w:lvlText w:val=""/>
      <w:lvlJc w:val="left"/>
    </w:lvl>
    <w:lvl w:ilvl="3" w:tplc="445E3FC0">
      <w:numFmt w:val="decimal"/>
      <w:lvlText w:val=""/>
      <w:lvlJc w:val="left"/>
    </w:lvl>
    <w:lvl w:ilvl="4" w:tplc="31781AA6">
      <w:numFmt w:val="decimal"/>
      <w:lvlText w:val=""/>
      <w:lvlJc w:val="left"/>
    </w:lvl>
    <w:lvl w:ilvl="5" w:tplc="BEC29D82">
      <w:numFmt w:val="decimal"/>
      <w:lvlText w:val=""/>
      <w:lvlJc w:val="left"/>
    </w:lvl>
    <w:lvl w:ilvl="6" w:tplc="0432392E">
      <w:numFmt w:val="decimal"/>
      <w:lvlText w:val=""/>
      <w:lvlJc w:val="left"/>
    </w:lvl>
    <w:lvl w:ilvl="7" w:tplc="FBA80C9E">
      <w:numFmt w:val="decimal"/>
      <w:lvlText w:val=""/>
      <w:lvlJc w:val="left"/>
    </w:lvl>
    <w:lvl w:ilvl="8" w:tplc="8F064C44">
      <w:numFmt w:val="decimal"/>
      <w:lvlText w:val=""/>
      <w:lvlJc w:val="left"/>
    </w:lvl>
  </w:abstractNum>
  <w:abstractNum w:abstractNumId="3" w15:restartNumberingAfterBreak="0">
    <w:nsid w:val="431BD7B7"/>
    <w:multiLevelType w:val="hybridMultilevel"/>
    <w:tmpl w:val="062C215C"/>
    <w:lvl w:ilvl="0" w:tplc="3AE4A1D0">
      <w:start w:val="14"/>
      <w:numFmt w:val="decimal"/>
      <w:lvlText w:val="%1"/>
      <w:lvlJc w:val="left"/>
    </w:lvl>
    <w:lvl w:ilvl="1" w:tplc="40A80000">
      <w:numFmt w:val="decimal"/>
      <w:lvlText w:val=""/>
      <w:lvlJc w:val="left"/>
    </w:lvl>
    <w:lvl w:ilvl="2" w:tplc="5BA67AB2">
      <w:numFmt w:val="decimal"/>
      <w:lvlText w:val=""/>
      <w:lvlJc w:val="left"/>
    </w:lvl>
    <w:lvl w:ilvl="3" w:tplc="A2E6FA98">
      <w:numFmt w:val="decimal"/>
      <w:lvlText w:val=""/>
      <w:lvlJc w:val="left"/>
    </w:lvl>
    <w:lvl w:ilvl="4" w:tplc="32C4D4FC">
      <w:numFmt w:val="decimal"/>
      <w:lvlText w:val=""/>
      <w:lvlJc w:val="left"/>
    </w:lvl>
    <w:lvl w:ilvl="5" w:tplc="61D0FC72">
      <w:numFmt w:val="decimal"/>
      <w:lvlText w:val=""/>
      <w:lvlJc w:val="left"/>
    </w:lvl>
    <w:lvl w:ilvl="6" w:tplc="557E537C">
      <w:numFmt w:val="decimal"/>
      <w:lvlText w:val=""/>
      <w:lvlJc w:val="left"/>
    </w:lvl>
    <w:lvl w:ilvl="7" w:tplc="2D9CFDB2">
      <w:numFmt w:val="decimal"/>
      <w:lvlText w:val=""/>
      <w:lvlJc w:val="left"/>
    </w:lvl>
    <w:lvl w:ilvl="8" w:tplc="353209CA">
      <w:numFmt w:val="decimal"/>
      <w:lvlText w:val=""/>
      <w:lvlJc w:val="left"/>
    </w:lvl>
  </w:abstractNum>
  <w:abstractNum w:abstractNumId="4" w15:restartNumberingAfterBreak="0">
    <w:nsid w:val="519B500D"/>
    <w:multiLevelType w:val="hybridMultilevel"/>
    <w:tmpl w:val="4DB6CAB0"/>
    <w:lvl w:ilvl="0" w:tplc="62860796">
      <w:start w:val="5"/>
      <w:numFmt w:val="decimal"/>
      <w:lvlText w:val="%1"/>
      <w:lvlJc w:val="left"/>
    </w:lvl>
    <w:lvl w:ilvl="1" w:tplc="4FD2BF42">
      <w:numFmt w:val="decimal"/>
      <w:lvlText w:val=""/>
      <w:lvlJc w:val="left"/>
    </w:lvl>
    <w:lvl w:ilvl="2" w:tplc="E86C1F96">
      <w:numFmt w:val="decimal"/>
      <w:lvlText w:val=""/>
      <w:lvlJc w:val="left"/>
    </w:lvl>
    <w:lvl w:ilvl="3" w:tplc="494A005E">
      <w:numFmt w:val="decimal"/>
      <w:lvlText w:val=""/>
      <w:lvlJc w:val="left"/>
    </w:lvl>
    <w:lvl w:ilvl="4" w:tplc="55FACA20">
      <w:numFmt w:val="decimal"/>
      <w:lvlText w:val=""/>
      <w:lvlJc w:val="left"/>
    </w:lvl>
    <w:lvl w:ilvl="5" w:tplc="BB821732">
      <w:numFmt w:val="decimal"/>
      <w:lvlText w:val=""/>
      <w:lvlJc w:val="left"/>
    </w:lvl>
    <w:lvl w:ilvl="6" w:tplc="1B32A5D6">
      <w:numFmt w:val="decimal"/>
      <w:lvlText w:val=""/>
      <w:lvlJc w:val="left"/>
    </w:lvl>
    <w:lvl w:ilvl="7" w:tplc="AB2A0AC0">
      <w:numFmt w:val="decimal"/>
      <w:lvlText w:val=""/>
      <w:lvlJc w:val="left"/>
    </w:lvl>
    <w:lvl w:ilvl="8" w:tplc="D5DAABB0">
      <w:numFmt w:val="decimal"/>
      <w:lvlText w:val=""/>
      <w:lvlJc w:val="left"/>
    </w:lvl>
  </w:abstractNum>
  <w:abstractNum w:abstractNumId="5" w15:restartNumberingAfterBreak="0">
    <w:nsid w:val="6F3D4FFB"/>
    <w:multiLevelType w:val="hybridMultilevel"/>
    <w:tmpl w:val="F5DC8BFA"/>
    <w:lvl w:ilvl="0" w:tplc="4D3429E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Calibri" w:hint="default"/>
        <w:b w:val="0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7B8DDC"/>
    <w:multiLevelType w:val="hybridMultilevel"/>
    <w:tmpl w:val="5812101E"/>
    <w:lvl w:ilvl="0" w:tplc="B782642E">
      <w:start w:val="482"/>
      <w:numFmt w:val="decimal"/>
      <w:lvlText w:val="%1"/>
      <w:lvlJc w:val="left"/>
    </w:lvl>
    <w:lvl w:ilvl="1" w:tplc="BF1AF4C4">
      <w:numFmt w:val="decimal"/>
      <w:lvlText w:val=""/>
      <w:lvlJc w:val="left"/>
    </w:lvl>
    <w:lvl w:ilvl="2" w:tplc="CB06373C">
      <w:numFmt w:val="decimal"/>
      <w:lvlText w:val=""/>
      <w:lvlJc w:val="left"/>
    </w:lvl>
    <w:lvl w:ilvl="3" w:tplc="7DE8B958">
      <w:numFmt w:val="decimal"/>
      <w:lvlText w:val=""/>
      <w:lvlJc w:val="left"/>
    </w:lvl>
    <w:lvl w:ilvl="4" w:tplc="1302A64C">
      <w:numFmt w:val="decimal"/>
      <w:lvlText w:val=""/>
      <w:lvlJc w:val="left"/>
    </w:lvl>
    <w:lvl w:ilvl="5" w:tplc="52EA4A74">
      <w:numFmt w:val="decimal"/>
      <w:lvlText w:val=""/>
      <w:lvlJc w:val="left"/>
    </w:lvl>
    <w:lvl w:ilvl="6" w:tplc="A782BF34">
      <w:numFmt w:val="decimal"/>
      <w:lvlText w:val=""/>
      <w:lvlJc w:val="left"/>
    </w:lvl>
    <w:lvl w:ilvl="7" w:tplc="B8201510">
      <w:numFmt w:val="decimal"/>
      <w:lvlText w:val=""/>
      <w:lvlJc w:val="left"/>
    </w:lvl>
    <w:lvl w:ilvl="8" w:tplc="82AED862">
      <w:numFmt w:val="decimal"/>
      <w:lvlText w:val=""/>
      <w:lvlJc w:val="left"/>
    </w:lvl>
  </w:abstractNum>
  <w:abstractNum w:abstractNumId="7" w15:restartNumberingAfterBreak="0">
    <w:nsid w:val="7C83E458"/>
    <w:multiLevelType w:val="hybridMultilevel"/>
    <w:tmpl w:val="1C7AD3E8"/>
    <w:lvl w:ilvl="0" w:tplc="2C287060">
      <w:start w:val="31"/>
      <w:numFmt w:val="decimal"/>
      <w:lvlText w:val="%1"/>
      <w:lvlJc w:val="left"/>
    </w:lvl>
    <w:lvl w:ilvl="1" w:tplc="883262D6">
      <w:numFmt w:val="decimal"/>
      <w:lvlText w:val=""/>
      <w:lvlJc w:val="left"/>
    </w:lvl>
    <w:lvl w:ilvl="2" w:tplc="09D473B8">
      <w:numFmt w:val="decimal"/>
      <w:lvlText w:val=""/>
      <w:lvlJc w:val="left"/>
    </w:lvl>
    <w:lvl w:ilvl="3" w:tplc="CDEC8AFE">
      <w:numFmt w:val="decimal"/>
      <w:lvlText w:val=""/>
      <w:lvlJc w:val="left"/>
    </w:lvl>
    <w:lvl w:ilvl="4" w:tplc="C4BC0C5E">
      <w:numFmt w:val="decimal"/>
      <w:lvlText w:val=""/>
      <w:lvlJc w:val="left"/>
    </w:lvl>
    <w:lvl w:ilvl="5" w:tplc="E1340522">
      <w:numFmt w:val="decimal"/>
      <w:lvlText w:val=""/>
      <w:lvlJc w:val="left"/>
    </w:lvl>
    <w:lvl w:ilvl="6" w:tplc="597ECE36">
      <w:numFmt w:val="decimal"/>
      <w:lvlText w:val=""/>
      <w:lvlJc w:val="left"/>
    </w:lvl>
    <w:lvl w:ilvl="7" w:tplc="70BC7F4C">
      <w:numFmt w:val="decimal"/>
      <w:lvlText w:val=""/>
      <w:lvlJc w:val="left"/>
    </w:lvl>
    <w:lvl w:ilvl="8" w:tplc="F096441A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7"/>
  </w:num>
  <w:num w:numId="6">
    <w:abstractNumId w:val="0"/>
  </w:num>
  <w:num w:numId="7">
    <w:abstractNumId w:val="5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5F6C"/>
    <w:rsid w:val="00125D6C"/>
    <w:rsid w:val="00227F56"/>
    <w:rsid w:val="00240722"/>
    <w:rsid w:val="00260463"/>
    <w:rsid w:val="002A55F6"/>
    <w:rsid w:val="0053639C"/>
    <w:rsid w:val="006741AF"/>
    <w:rsid w:val="008A06BB"/>
    <w:rsid w:val="00A17F8E"/>
    <w:rsid w:val="00A66F82"/>
    <w:rsid w:val="00D15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7A9B85"/>
  <w15:chartTrackingRefBased/>
  <w15:docId w15:val="{4EEEFE52-3A54-4E1E-ABAB-721C53FBB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15F6C"/>
    <w:pPr>
      <w:spacing w:after="0" w:line="240" w:lineRule="auto"/>
    </w:pPr>
    <w:rPr>
      <w:rFonts w:ascii="Times New Roman" w:eastAsiaTheme="minorEastAsia" w:hAnsi="Times New Roman" w:cs="Times New Roman"/>
      <w:lang w:eastAsia="it-I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40722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2604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48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golda kovaèiæ</dc:creator>
  <cp:keywords/>
  <dc:description/>
  <cp:lastModifiedBy>golda kovaèiæ</cp:lastModifiedBy>
  <cp:revision>2</cp:revision>
  <dcterms:created xsi:type="dcterms:W3CDTF">2017-10-03T07:55:00Z</dcterms:created>
  <dcterms:modified xsi:type="dcterms:W3CDTF">2017-10-03T07:55:00Z</dcterms:modified>
</cp:coreProperties>
</file>