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F6C" w:rsidRPr="00BD7E2D" w:rsidRDefault="00D15F6C" w:rsidP="00D15F6C">
      <w:pPr>
        <w:tabs>
          <w:tab w:val="left" w:pos="1780"/>
        </w:tabs>
        <w:ind w:left="178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b/>
          <w:bCs/>
          <w:sz w:val="24"/>
          <w:szCs w:val="24"/>
          <w:lang w:val="en-US"/>
        </w:rPr>
        <w:t>Temporal bone Meningo-encephalic-Herniation: Etiological Categorization and</w:t>
      </w:r>
    </w:p>
    <w:p w:rsidR="00D15F6C" w:rsidRPr="00BD7E2D" w:rsidRDefault="00D15F6C" w:rsidP="00D15F6C">
      <w:pPr>
        <w:spacing w:line="19" w:lineRule="exact"/>
        <w:rPr>
          <w:sz w:val="20"/>
          <w:szCs w:val="20"/>
          <w:lang w:val="en-US"/>
        </w:rPr>
      </w:pPr>
    </w:p>
    <w:tbl>
      <w:tblPr>
        <w:tblW w:w="0" w:type="auto"/>
        <w:tblInd w:w="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3740"/>
      </w:tblGrid>
      <w:tr w:rsidR="00D15F6C" w:rsidTr="00AF19BC">
        <w:trPr>
          <w:trHeight w:val="280"/>
        </w:trPr>
        <w:tc>
          <w:tcPr>
            <w:tcW w:w="2120" w:type="dxa"/>
            <w:vAlign w:val="bottom"/>
          </w:tcPr>
          <w:p w:rsidR="00D15F6C" w:rsidRDefault="00D15F6C" w:rsidP="00AF19BC">
            <w:pPr>
              <w:ind w:right="1890"/>
              <w:jc w:val="right"/>
              <w:rPr>
                <w:sz w:val="20"/>
                <w:szCs w:val="20"/>
              </w:rPr>
            </w:pPr>
          </w:p>
        </w:tc>
        <w:tc>
          <w:tcPr>
            <w:tcW w:w="3740" w:type="dxa"/>
            <w:vAlign w:val="bottom"/>
          </w:tcPr>
          <w:p w:rsidR="00D15F6C" w:rsidRDefault="00D15F6C" w:rsidP="00AF19BC">
            <w:pPr>
              <w:ind w:left="20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Surgical strategy</w:t>
            </w:r>
          </w:p>
        </w:tc>
      </w:tr>
      <w:tr w:rsidR="00D15F6C" w:rsidTr="00AF19BC">
        <w:trPr>
          <w:trHeight w:val="458"/>
        </w:trPr>
        <w:tc>
          <w:tcPr>
            <w:tcW w:w="2120" w:type="dxa"/>
            <w:vAlign w:val="bottom"/>
          </w:tcPr>
          <w:p w:rsidR="00D15F6C" w:rsidRDefault="00D15F6C" w:rsidP="00AF19BC">
            <w:pPr>
              <w:ind w:right="1890"/>
              <w:jc w:val="right"/>
              <w:rPr>
                <w:sz w:val="20"/>
                <w:szCs w:val="20"/>
              </w:rPr>
            </w:pPr>
          </w:p>
        </w:tc>
        <w:tc>
          <w:tcPr>
            <w:tcW w:w="3740" w:type="dxa"/>
            <w:vAlign w:val="bottom"/>
          </w:tcPr>
          <w:p w:rsidR="00D15F6C" w:rsidRDefault="00D15F6C" w:rsidP="00AF19BC">
            <w:pPr>
              <w:rPr>
                <w:sz w:val="24"/>
                <w:szCs w:val="24"/>
              </w:rPr>
            </w:pPr>
          </w:p>
        </w:tc>
      </w:tr>
    </w:tbl>
    <w:p w:rsidR="00D15F6C" w:rsidRDefault="00D15F6C" w:rsidP="00D15F6C">
      <w:pPr>
        <w:spacing w:line="169" w:lineRule="exact"/>
        <w:rPr>
          <w:sz w:val="20"/>
          <w:szCs w:val="20"/>
        </w:rPr>
      </w:pPr>
    </w:p>
    <w:p w:rsidR="00D15F6C" w:rsidRPr="00D15F6C" w:rsidRDefault="00D15F6C" w:rsidP="00D15F6C">
      <w:pPr>
        <w:tabs>
          <w:tab w:val="left" w:pos="1340"/>
        </w:tabs>
        <w:rPr>
          <w:rFonts w:ascii="Calibri" w:eastAsia="Calibri" w:hAnsi="Calibri" w:cs="Calibri"/>
          <w:lang w:val="en-US"/>
        </w:rPr>
      </w:pPr>
      <w:r w:rsidRPr="00D15F6C">
        <w:rPr>
          <w:rFonts w:eastAsia="Times New Roman"/>
          <w:b/>
          <w:bCs/>
          <w:sz w:val="24"/>
          <w:szCs w:val="24"/>
          <w:lang w:val="en-US"/>
        </w:rPr>
        <w:t xml:space="preserve">                      </w:t>
      </w:r>
      <w:r w:rsidRPr="00D15F6C">
        <w:rPr>
          <w:rFonts w:eastAsia="Times New Roman"/>
          <w:b/>
          <w:bCs/>
          <w:sz w:val="24"/>
          <w:szCs w:val="24"/>
          <w:lang w:val="en-US"/>
        </w:rPr>
        <w:t>Abstract</w:t>
      </w:r>
    </w:p>
    <w:p w:rsidR="00D15F6C" w:rsidRPr="00D15F6C" w:rsidRDefault="00D15F6C" w:rsidP="00D15F6C">
      <w:pPr>
        <w:spacing w:line="184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i/>
          <w:iCs/>
          <w:sz w:val="23"/>
          <w:szCs w:val="23"/>
          <w:lang w:val="en-US"/>
        </w:rPr>
        <w:t xml:space="preserve">Objective: </w:t>
      </w:r>
      <w:r w:rsidRPr="00BD7E2D">
        <w:rPr>
          <w:rFonts w:eastAsia="Times New Roman"/>
          <w:sz w:val="23"/>
          <w:szCs w:val="23"/>
          <w:lang w:val="en-US"/>
        </w:rPr>
        <w:t>To study the clinical presentation, intraoperative findings and surgical management</w:t>
      </w:r>
    </w:p>
    <w:p w:rsidR="00D15F6C" w:rsidRPr="00BD7E2D" w:rsidRDefault="00D15F6C" w:rsidP="00D15F6C">
      <w:pPr>
        <w:spacing w:line="132" w:lineRule="exact"/>
        <w:rPr>
          <w:rFonts w:ascii="Calibri" w:eastAsia="Calibri" w:hAnsi="Calibri" w:cs="Calibri"/>
          <w:sz w:val="21"/>
          <w:szCs w:val="21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in Meningo-encephalic-herniation (MEH) based on the etiology.</w:t>
      </w:r>
    </w:p>
    <w:p w:rsidR="00D15F6C" w:rsidRPr="00BD7E2D" w:rsidRDefault="00D15F6C" w:rsidP="00D15F6C">
      <w:pPr>
        <w:spacing w:line="290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i/>
          <w:iCs/>
          <w:sz w:val="24"/>
          <w:szCs w:val="24"/>
          <w:lang w:val="en-US"/>
        </w:rPr>
        <w:t>Study design</w:t>
      </w:r>
      <w:r w:rsidRPr="00BD7E2D">
        <w:rPr>
          <w:rFonts w:eastAsia="Times New Roman"/>
          <w:sz w:val="24"/>
          <w:szCs w:val="24"/>
          <w:lang w:val="en-US"/>
        </w:rPr>
        <w:t>: A retrospective clinical study</w:t>
      </w:r>
    </w:p>
    <w:p w:rsidR="00D15F6C" w:rsidRPr="00BD7E2D" w:rsidRDefault="00D15F6C" w:rsidP="00D15F6C">
      <w:pPr>
        <w:spacing w:line="290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i/>
          <w:iCs/>
          <w:sz w:val="24"/>
          <w:szCs w:val="24"/>
          <w:lang w:val="en-US"/>
        </w:rPr>
        <w:t>Setting</w:t>
      </w:r>
      <w:r w:rsidRPr="00BD7E2D">
        <w:rPr>
          <w:rFonts w:eastAsia="Times New Roman"/>
          <w:sz w:val="24"/>
          <w:szCs w:val="24"/>
          <w:lang w:val="en-US"/>
        </w:rPr>
        <w:t xml:space="preserve">: A quaternary referral otology and skull base </w:t>
      </w:r>
      <w:proofErr w:type="spellStart"/>
      <w:r w:rsidRPr="00BD7E2D">
        <w:rPr>
          <w:rFonts w:eastAsia="Times New Roman"/>
          <w:sz w:val="24"/>
          <w:szCs w:val="24"/>
          <w:lang w:val="en-US"/>
        </w:rPr>
        <w:t>centre</w:t>
      </w:r>
      <w:proofErr w:type="spellEnd"/>
    </w:p>
    <w:p w:rsidR="00D15F6C" w:rsidRPr="00BD7E2D" w:rsidRDefault="00D15F6C" w:rsidP="00D15F6C">
      <w:pPr>
        <w:spacing w:line="291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i/>
          <w:iCs/>
          <w:sz w:val="24"/>
          <w:szCs w:val="24"/>
          <w:lang w:val="en-US"/>
        </w:rPr>
        <w:t xml:space="preserve">Patients and methods: </w:t>
      </w:r>
      <w:r w:rsidRPr="00BD7E2D">
        <w:rPr>
          <w:rFonts w:eastAsia="Times New Roman"/>
          <w:sz w:val="24"/>
          <w:szCs w:val="24"/>
          <w:lang w:val="en-US"/>
        </w:rPr>
        <w:t>The inclusion criteria were intraoperatively verified MEH in patients</w:t>
      </w:r>
    </w:p>
    <w:p w:rsidR="00D15F6C" w:rsidRPr="00D15F6C" w:rsidRDefault="00D15F6C" w:rsidP="00D15F6C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 xml:space="preserve">with a minimum follow-up of 12 months which yielded 262 operated ears. </w:t>
      </w:r>
      <w:r w:rsidRPr="00D15F6C">
        <w:rPr>
          <w:rFonts w:eastAsia="Times New Roman"/>
          <w:sz w:val="24"/>
          <w:szCs w:val="24"/>
          <w:lang w:val="en-US"/>
        </w:rPr>
        <w:t>The data were</w:t>
      </w:r>
    </w:p>
    <w:p w:rsidR="00D15F6C" w:rsidRPr="00D15F6C" w:rsidRDefault="00D15F6C" w:rsidP="00D15F6C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sz w:val="23"/>
          <w:szCs w:val="23"/>
          <w:lang w:val="en-US"/>
        </w:rPr>
        <w:t>extracted regarding demographics, laterality, clinical presentation, past surgeries, contralateral-</w:t>
      </w:r>
      <w:r>
        <w:rPr>
          <w:rFonts w:eastAsia="Times New Roman"/>
          <w:sz w:val="24"/>
          <w:szCs w:val="24"/>
          <w:lang w:val="en-US"/>
        </w:rPr>
        <w:t>ear condition, intraoperative</w:t>
      </w:r>
      <w:r>
        <w:rPr>
          <w:rFonts w:eastAsia="Times New Roman"/>
          <w:sz w:val="24"/>
          <w:szCs w:val="24"/>
          <w:lang w:val="en-US"/>
        </w:rPr>
        <w:tab/>
        <w:t xml:space="preserve">findings, complications, </w:t>
      </w:r>
      <w:r w:rsidRPr="00BD7E2D">
        <w:rPr>
          <w:rFonts w:eastAsia="Times New Roman"/>
          <w:sz w:val="24"/>
          <w:szCs w:val="24"/>
          <w:lang w:val="en-US"/>
        </w:rPr>
        <w:t>recurrences,</w:t>
      </w:r>
      <w:r w:rsidRPr="00BD7E2D">
        <w:rPr>
          <w:sz w:val="20"/>
          <w:szCs w:val="20"/>
          <w:lang w:val="en-US"/>
        </w:rPr>
        <w:tab/>
      </w:r>
      <w:r w:rsidRPr="00BD7E2D">
        <w:rPr>
          <w:rFonts w:eastAsia="Times New Roman"/>
          <w:sz w:val="23"/>
          <w:szCs w:val="23"/>
          <w:lang w:val="en-US"/>
        </w:rPr>
        <w:t>revision-surgeries,</w:t>
      </w:r>
      <w:r>
        <w:rPr>
          <w:rFonts w:eastAsia="Times New Roman"/>
          <w:sz w:val="23"/>
          <w:szCs w:val="23"/>
          <w:lang w:val="en-US"/>
        </w:rPr>
        <w:t xml:space="preserve"> </w:t>
      </w:r>
      <w:r w:rsidRPr="00BD7E2D">
        <w:rPr>
          <w:rFonts w:eastAsia="Times New Roman"/>
          <w:sz w:val="24"/>
          <w:szCs w:val="24"/>
          <w:lang w:val="en-US"/>
        </w:rPr>
        <w:t>audiometric-data and follow-up.</w:t>
      </w:r>
    </w:p>
    <w:p w:rsidR="00D15F6C" w:rsidRPr="00BD7E2D" w:rsidRDefault="00D15F6C" w:rsidP="00D15F6C">
      <w:pPr>
        <w:spacing w:line="302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i/>
          <w:iCs/>
          <w:sz w:val="23"/>
          <w:szCs w:val="23"/>
          <w:lang w:val="en-US"/>
        </w:rPr>
        <w:t xml:space="preserve">Results: </w:t>
      </w:r>
      <w:r w:rsidRPr="00BD7E2D">
        <w:rPr>
          <w:rFonts w:eastAsia="Times New Roman"/>
          <w:sz w:val="23"/>
          <w:szCs w:val="23"/>
          <w:lang w:val="en-US"/>
        </w:rPr>
        <w:t>The mean age at surgery was 49.7 years with the involvement of right-ear in 53.8% of</w:t>
      </w:r>
    </w:p>
    <w:p w:rsidR="00D15F6C" w:rsidRPr="00BD7E2D" w:rsidRDefault="00D15F6C" w:rsidP="00D15F6C">
      <w:pPr>
        <w:spacing w:line="132" w:lineRule="exact"/>
        <w:rPr>
          <w:rFonts w:ascii="Calibri" w:eastAsia="Calibri" w:hAnsi="Calibri" w:cs="Calibri"/>
          <w:sz w:val="21"/>
          <w:szCs w:val="21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cases. Lesions were categorized based on the etiology as chronic-otitis-media with/without</w:t>
      </w:r>
    </w:p>
    <w:p w:rsidR="00D15F6C" w:rsidRPr="00BD7E2D" w:rsidRDefault="00D15F6C" w:rsidP="00D15F6C">
      <w:pPr>
        <w:spacing w:line="141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sz w:val="23"/>
          <w:szCs w:val="23"/>
          <w:lang w:val="en-US"/>
        </w:rPr>
        <w:t>cholesteatoma-MEH (COM/CHOL-MEH)-47.7%; iatrogenic-MEHs -20.9%; traumatic-MEHs</w:t>
      </w:r>
    </w:p>
    <w:p w:rsidR="00D15F6C" w:rsidRPr="00BD7E2D" w:rsidRDefault="00D15F6C" w:rsidP="00D15F6C">
      <w:pPr>
        <w:spacing w:line="132" w:lineRule="exact"/>
        <w:rPr>
          <w:rFonts w:ascii="Calibri" w:eastAsia="Calibri" w:hAnsi="Calibri" w:cs="Calibri"/>
          <w:sz w:val="21"/>
          <w:szCs w:val="21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-8% and spontaneous-MEHs-23.3%. At presentation, hearing loss (100% and 98.2%) and</w:t>
      </w:r>
    </w:p>
    <w:p w:rsidR="00D15F6C" w:rsidRPr="00BD7E2D" w:rsidRDefault="00D15F6C" w:rsidP="00D15F6C">
      <w:pPr>
        <w:spacing w:line="130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otorrhea (65.6% and 49.1%) were predominant in COM/CHOL-MEHs and iatrogenic-MEHs</w:t>
      </w:r>
    </w:p>
    <w:p w:rsidR="00D15F6C" w:rsidRPr="00BD7E2D" w:rsidRDefault="00D15F6C" w:rsidP="00D15F6C">
      <w:pPr>
        <w:spacing w:line="132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respectively. On the other hand, meningitis (23.9% and 14.3%) and cerebrospinal fluid-leak</w:t>
      </w:r>
    </w:p>
    <w:p w:rsidR="00D15F6C" w:rsidRPr="00BD7E2D" w:rsidRDefault="00D15F6C" w:rsidP="00D15F6C">
      <w:pPr>
        <w:spacing w:line="141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sz w:val="23"/>
          <w:szCs w:val="23"/>
          <w:lang w:val="en-US"/>
        </w:rPr>
        <w:t>(52.4% and 42.8%) were more pronounced in spontaneous and traumatic MEHs, respectively.</w:t>
      </w:r>
    </w:p>
    <w:p w:rsidR="00D15F6C" w:rsidRPr="00BD7E2D" w:rsidRDefault="00D15F6C" w:rsidP="00D15F6C">
      <w:pPr>
        <w:spacing w:line="144" w:lineRule="exact"/>
        <w:rPr>
          <w:rFonts w:ascii="Calibri" w:eastAsia="Calibri" w:hAnsi="Calibri" w:cs="Calibri"/>
          <w:sz w:val="21"/>
          <w:szCs w:val="21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sz w:val="23"/>
          <w:szCs w:val="23"/>
          <w:lang w:val="en-US"/>
        </w:rPr>
        <w:t>Surgical approaches included- 1) Transmastoid, 2) Middle-cranial-fossa-approach (MCFA), 3)</w:t>
      </w:r>
    </w:p>
    <w:p w:rsidR="00D15F6C" w:rsidRPr="00BD7E2D" w:rsidRDefault="00D15F6C" w:rsidP="00D15F6C">
      <w:pPr>
        <w:spacing w:line="137" w:lineRule="exact"/>
        <w:rPr>
          <w:sz w:val="20"/>
          <w:szCs w:val="20"/>
          <w:lang w:val="en-US"/>
        </w:rPr>
      </w:pPr>
    </w:p>
    <w:tbl>
      <w:tblPr>
        <w:tblW w:w="0" w:type="auto"/>
        <w:tblInd w:w="7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200"/>
      </w:tblGrid>
      <w:tr w:rsidR="00D15F6C" w:rsidRPr="00D15F6C" w:rsidTr="00AF19BC">
        <w:trPr>
          <w:trHeight w:val="280"/>
        </w:trPr>
        <w:tc>
          <w:tcPr>
            <w:tcW w:w="400" w:type="dxa"/>
            <w:vAlign w:val="bottom"/>
          </w:tcPr>
          <w:p w:rsidR="00D15F6C" w:rsidRDefault="00D15F6C" w:rsidP="00AF19BC">
            <w:pPr>
              <w:ind w:right="70"/>
              <w:jc w:val="right"/>
              <w:rPr>
                <w:sz w:val="20"/>
                <w:szCs w:val="20"/>
              </w:rPr>
            </w:pPr>
          </w:p>
        </w:tc>
        <w:tc>
          <w:tcPr>
            <w:tcW w:w="9200" w:type="dxa"/>
            <w:vAlign w:val="bottom"/>
          </w:tcPr>
          <w:p w:rsidR="00D15F6C" w:rsidRPr="00D15F6C" w:rsidRDefault="00D15F6C" w:rsidP="00D15F6C">
            <w:pPr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 xml:space="preserve">   Combined and 4) Middle-ear-  obliteration(MEO) </w:t>
            </w:r>
            <w:r w:rsidRPr="00BD7E2D">
              <w:rPr>
                <w:rFonts w:eastAsia="Times New Roman"/>
                <w:sz w:val="24"/>
                <w:szCs w:val="24"/>
                <w:lang w:val="en-US"/>
              </w:rPr>
              <w:t xml:space="preserve">techniques.  </w:t>
            </w:r>
            <w:r>
              <w:rPr>
                <w:rFonts w:eastAsia="Times New Roman"/>
                <w:sz w:val="24"/>
                <w:szCs w:val="24"/>
                <w:lang w:val="en-US"/>
              </w:rPr>
              <w:t xml:space="preserve">A total of 52.8% </w:t>
            </w:r>
            <w:r w:rsidRPr="00D15F6C">
              <w:rPr>
                <w:rFonts w:eastAsia="Times New Roman"/>
                <w:sz w:val="24"/>
                <w:szCs w:val="24"/>
                <w:lang w:val="en-US"/>
              </w:rPr>
              <w:t>of</w:t>
            </w:r>
          </w:p>
        </w:tc>
      </w:tr>
      <w:tr w:rsidR="00D15F6C" w:rsidRPr="00D15F6C" w:rsidTr="00AF19BC">
        <w:trPr>
          <w:trHeight w:val="415"/>
        </w:trPr>
        <w:tc>
          <w:tcPr>
            <w:tcW w:w="400" w:type="dxa"/>
            <w:vAlign w:val="bottom"/>
          </w:tcPr>
          <w:p w:rsidR="00D15F6C" w:rsidRDefault="00D15F6C" w:rsidP="00AF19BC">
            <w:pPr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89"/>
              </w:rPr>
              <w:t xml:space="preserve">   </w:t>
            </w:r>
          </w:p>
        </w:tc>
        <w:tc>
          <w:tcPr>
            <w:tcW w:w="9200" w:type="dxa"/>
            <w:vAlign w:val="bottom"/>
          </w:tcPr>
          <w:p w:rsidR="00D15F6C" w:rsidRPr="00D15F6C" w:rsidRDefault="00D15F6C" w:rsidP="00D15F6C">
            <w:pPr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 xml:space="preserve">  COM/CHOL-MEHs and 49.1% of iatrogenic-MEHs underwent </w:t>
            </w:r>
            <w:r w:rsidRPr="00BD7E2D">
              <w:rPr>
                <w:rFonts w:eastAsia="Times New Roman"/>
                <w:sz w:val="24"/>
                <w:szCs w:val="24"/>
                <w:lang w:val="en-US"/>
              </w:rPr>
              <w:t xml:space="preserve">MEO.  </w:t>
            </w:r>
            <w:r>
              <w:rPr>
                <w:rFonts w:eastAsia="Times New Roman"/>
                <w:sz w:val="24"/>
                <w:szCs w:val="24"/>
                <w:lang w:val="en-US"/>
              </w:rPr>
              <w:t xml:space="preserve">MCFA </w:t>
            </w:r>
            <w:r w:rsidRPr="00D15F6C">
              <w:rPr>
                <w:rFonts w:eastAsia="Times New Roman"/>
                <w:sz w:val="24"/>
                <w:szCs w:val="24"/>
                <w:lang w:val="en-US"/>
              </w:rPr>
              <w:t>was</w:t>
            </w:r>
          </w:p>
        </w:tc>
      </w:tr>
    </w:tbl>
    <w:p w:rsidR="00D15F6C" w:rsidRPr="00D15F6C" w:rsidRDefault="00D15F6C" w:rsidP="00D15F6C">
      <w:pPr>
        <w:spacing w:line="126" w:lineRule="exact"/>
        <w:rPr>
          <w:sz w:val="20"/>
          <w:szCs w:val="20"/>
          <w:lang w:val="en-US"/>
        </w:rPr>
      </w:pPr>
    </w:p>
    <w:p w:rsidR="00D15F6C" w:rsidRPr="00D15F6C" w:rsidRDefault="00D15F6C" w:rsidP="00D15F6C">
      <w:pPr>
        <w:tabs>
          <w:tab w:val="left" w:pos="1340"/>
        </w:tabs>
        <w:rPr>
          <w:rFonts w:ascii="Calibri" w:eastAsia="Calibri" w:hAnsi="Calibri" w:cs="Calibri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                      </w:t>
      </w:r>
      <w:r w:rsidRPr="00BD7E2D">
        <w:rPr>
          <w:rFonts w:eastAsia="Times New Roman"/>
          <w:sz w:val="24"/>
          <w:szCs w:val="24"/>
          <w:lang w:val="en-US"/>
        </w:rPr>
        <w:t xml:space="preserve">predominantly used in spontaneous-MEHs (52.5%) and traumatic-MEHs (38.1%). </w:t>
      </w:r>
      <w:r w:rsidRPr="00D15F6C">
        <w:rPr>
          <w:rFonts w:eastAsia="Times New Roman"/>
          <w:sz w:val="24"/>
          <w:szCs w:val="24"/>
          <w:lang w:val="en-US"/>
        </w:rPr>
        <w:t>The defect</w:t>
      </w:r>
    </w:p>
    <w:p w:rsidR="00D15F6C" w:rsidRPr="00D15F6C" w:rsidRDefault="00D15F6C" w:rsidP="00D15F6C">
      <w:pPr>
        <w:spacing w:line="132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was </w:t>
      </w:r>
      <w:r w:rsidRPr="00BD7E2D">
        <w:rPr>
          <w:rFonts w:eastAsia="Times New Roman"/>
          <w:sz w:val="24"/>
          <w:szCs w:val="24"/>
          <w:lang w:val="en-US"/>
        </w:rPr>
        <w:t>most</w:t>
      </w:r>
      <w:r>
        <w:rPr>
          <w:rFonts w:eastAsia="Times New Roman"/>
          <w:sz w:val="24"/>
          <w:szCs w:val="24"/>
          <w:lang w:val="en-US"/>
        </w:rPr>
        <w:t>ly single (75.2%).  Smaller, multiple, bilateral lesions were more common</w:t>
      </w:r>
      <w:r w:rsidRPr="00BD7E2D">
        <w:rPr>
          <w:rFonts w:eastAsia="Times New Roman"/>
          <w:sz w:val="24"/>
          <w:szCs w:val="24"/>
          <w:lang w:val="en-US"/>
        </w:rPr>
        <w:t xml:space="preserve"> in</w:t>
      </w:r>
    </w:p>
    <w:p w:rsidR="00D15F6C" w:rsidRPr="00BD7E2D" w:rsidRDefault="00D15F6C" w:rsidP="00D15F6C">
      <w:pPr>
        <w:spacing w:line="129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spontaneous-MEHs with tegmen-tympani involvement (57.4%).</w:t>
      </w:r>
    </w:p>
    <w:p w:rsidR="00D15F6C" w:rsidRPr="00BD7E2D" w:rsidRDefault="00D15F6C" w:rsidP="00D15F6C">
      <w:pPr>
        <w:spacing w:line="291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i/>
          <w:iCs/>
          <w:sz w:val="24"/>
          <w:szCs w:val="24"/>
          <w:lang w:val="en-US"/>
        </w:rPr>
        <w:t xml:space="preserve">Conclusion. </w:t>
      </w:r>
      <w:r w:rsidRPr="00BD7E2D">
        <w:rPr>
          <w:rFonts w:eastAsia="Times New Roman"/>
          <w:sz w:val="24"/>
          <w:szCs w:val="24"/>
          <w:lang w:val="en-US"/>
        </w:rPr>
        <w:t>Incorporating etiology into MEHs is a key-step which can be used as a guidance</w:t>
      </w:r>
    </w:p>
    <w:p w:rsidR="00D15F6C" w:rsidRPr="00BD7E2D" w:rsidRDefault="00D15F6C" w:rsidP="00D15F6C">
      <w:pPr>
        <w:spacing w:line="132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in choosing the right surgery. MEO is a part of armamentarium, and should be used whenever</w:t>
      </w:r>
    </w:p>
    <w:p w:rsidR="00D15F6C" w:rsidRPr="00BD7E2D" w:rsidRDefault="00D15F6C" w:rsidP="00D15F6C">
      <w:pPr>
        <w:spacing w:line="129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1340"/>
        </w:tabs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needed, if the objective is performing a definitive surgery.</w:t>
      </w:r>
    </w:p>
    <w:p w:rsidR="00D15F6C" w:rsidRPr="00BD7E2D" w:rsidRDefault="00D15F6C" w:rsidP="00D15F6C">
      <w:pPr>
        <w:rPr>
          <w:lang w:val="en-US"/>
        </w:rPr>
        <w:sectPr w:rsidR="00D15F6C" w:rsidRPr="00BD7E2D">
          <w:pgSz w:w="11900" w:h="16838"/>
          <w:pgMar w:top="24" w:right="1440" w:bottom="1440" w:left="100" w:header="0" w:footer="0" w:gutter="0"/>
          <w:cols w:space="720" w:equalWidth="0">
            <w:col w:w="10366"/>
          </w:cols>
        </w:sectPr>
      </w:pPr>
    </w:p>
    <w:p w:rsidR="00D15F6C" w:rsidRPr="00BD7E2D" w:rsidRDefault="00D15F6C" w:rsidP="00D15F6C">
      <w:pPr>
        <w:tabs>
          <w:tab w:val="left" w:pos="586"/>
        </w:tabs>
        <w:ind w:left="586"/>
        <w:rPr>
          <w:rFonts w:ascii="Calibri" w:eastAsia="Calibri" w:hAnsi="Calibri" w:cs="Calibri"/>
          <w:lang w:val="en-US"/>
        </w:rPr>
      </w:pPr>
      <w:bookmarkStart w:id="0" w:name="page6"/>
      <w:bookmarkEnd w:id="0"/>
      <w:r w:rsidRPr="00BD7E2D">
        <w:rPr>
          <w:rFonts w:eastAsia="Times New Roman"/>
          <w:i/>
          <w:iCs/>
          <w:sz w:val="24"/>
          <w:szCs w:val="24"/>
          <w:lang w:val="en-US"/>
        </w:rPr>
        <w:lastRenderedPageBreak/>
        <w:t>Key words</w:t>
      </w:r>
      <w:r w:rsidRPr="00BD7E2D">
        <w:rPr>
          <w:rFonts w:eastAsia="Times New Roman"/>
          <w:sz w:val="24"/>
          <w:szCs w:val="24"/>
          <w:lang w:val="en-US"/>
        </w:rPr>
        <w:t>: Meningo-encephalic herniation (MEH); surgical repair; middle-ear-obliteration</w:t>
      </w:r>
    </w:p>
    <w:p w:rsidR="00D15F6C" w:rsidRPr="00BD7E2D" w:rsidRDefault="00D15F6C" w:rsidP="00D15F6C">
      <w:pPr>
        <w:spacing w:line="130" w:lineRule="exact"/>
        <w:rPr>
          <w:rFonts w:ascii="Calibri" w:eastAsia="Calibri" w:hAnsi="Calibri" w:cs="Calibri"/>
          <w:lang w:val="en-US"/>
        </w:rPr>
      </w:pPr>
    </w:p>
    <w:p w:rsidR="00D15F6C" w:rsidRPr="00BD7E2D" w:rsidRDefault="00D15F6C" w:rsidP="00D15F6C">
      <w:pPr>
        <w:tabs>
          <w:tab w:val="left" w:pos="586"/>
        </w:tabs>
        <w:ind w:left="586"/>
        <w:rPr>
          <w:rFonts w:ascii="Calibri" w:eastAsia="Calibri" w:hAnsi="Calibri" w:cs="Calibri"/>
          <w:lang w:val="en-US"/>
        </w:rPr>
      </w:pPr>
      <w:r>
        <w:rPr>
          <w:rFonts w:eastAsia="Times New Roman"/>
          <w:sz w:val="24"/>
          <w:szCs w:val="24"/>
          <w:lang w:val="en-US"/>
        </w:rPr>
        <w:t xml:space="preserve">(MEO); cerebrospinal-fluid </w:t>
      </w:r>
      <w:bookmarkStart w:id="1" w:name="_GoBack"/>
      <w:bookmarkEnd w:id="1"/>
      <w:r w:rsidRPr="00BD7E2D">
        <w:rPr>
          <w:rFonts w:eastAsia="Times New Roman"/>
          <w:sz w:val="24"/>
          <w:szCs w:val="24"/>
          <w:lang w:val="en-US"/>
        </w:rPr>
        <w:t>(CSF)-leak;  spontaneous-MEH;  iatrogenic-MEH;  traumatic-</w:t>
      </w:r>
    </w:p>
    <w:p w:rsidR="00D15F6C" w:rsidRPr="00BD7E2D" w:rsidRDefault="00D15F6C" w:rsidP="00D15F6C">
      <w:pPr>
        <w:spacing w:line="132" w:lineRule="exact"/>
        <w:rPr>
          <w:rFonts w:ascii="Calibri" w:eastAsia="Calibri" w:hAnsi="Calibri" w:cs="Calibri"/>
          <w:lang w:val="en-US"/>
        </w:rPr>
      </w:pPr>
    </w:p>
    <w:p w:rsidR="00D15F6C" w:rsidRDefault="00D15F6C" w:rsidP="00D15F6C">
      <w:pPr>
        <w:tabs>
          <w:tab w:val="left" w:pos="586"/>
        </w:tabs>
        <w:ind w:left="586"/>
        <w:rPr>
          <w:rFonts w:ascii="Calibri" w:eastAsia="Calibri" w:hAnsi="Calibri" w:cs="Calibri"/>
        </w:rPr>
      </w:pPr>
      <w:r>
        <w:rPr>
          <w:rFonts w:eastAsia="Times New Roman"/>
          <w:sz w:val="24"/>
          <w:szCs w:val="24"/>
        </w:rPr>
        <w:t>MEH; meningitis.</w:t>
      </w:r>
    </w:p>
    <w:p w:rsidR="0053639C" w:rsidRDefault="0053639C"/>
    <w:sectPr w:rsidR="005363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45D32"/>
    <w:multiLevelType w:val="hybridMultilevel"/>
    <w:tmpl w:val="2EDE6E3E"/>
    <w:lvl w:ilvl="0" w:tplc="A38A61AE">
      <w:start w:val="2"/>
      <w:numFmt w:val="decimal"/>
      <w:lvlText w:val="%1"/>
      <w:lvlJc w:val="left"/>
    </w:lvl>
    <w:lvl w:ilvl="1" w:tplc="D568729A">
      <w:numFmt w:val="decimal"/>
      <w:lvlText w:val=""/>
      <w:lvlJc w:val="left"/>
    </w:lvl>
    <w:lvl w:ilvl="2" w:tplc="DF9CE49E">
      <w:numFmt w:val="decimal"/>
      <w:lvlText w:val=""/>
      <w:lvlJc w:val="left"/>
    </w:lvl>
    <w:lvl w:ilvl="3" w:tplc="067646DC">
      <w:numFmt w:val="decimal"/>
      <w:lvlText w:val=""/>
      <w:lvlJc w:val="left"/>
    </w:lvl>
    <w:lvl w:ilvl="4" w:tplc="DA3E3160">
      <w:numFmt w:val="decimal"/>
      <w:lvlText w:val=""/>
      <w:lvlJc w:val="left"/>
    </w:lvl>
    <w:lvl w:ilvl="5" w:tplc="BE2C1D6A">
      <w:numFmt w:val="decimal"/>
      <w:lvlText w:val=""/>
      <w:lvlJc w:val="left"/>
    </w:lvl>
    <w:lvl w:ilvl="6" w:tplc="B11E3776">
      <w:numFmt w:val="decimal"/>
      <w:lvlText w:val=""/>
      <w:lvlJc w:val="left"/>
    </w:lvl>
    <w:lvl w:ilvl="7" w:tplc="313EA7A6">
      <w:numFmt w:val="decimal"/>
      <w:lvlText w:val=""/>
      <w:lvlJc w:val="left"/>
    </w:lvl>
    <w:lvl w:ilvl="8" w:tplc="38F68A7C">
      <w:numFmt w:val="decimal"/>
      <w:lvlText w:val=""/>
      <w:lvlJc w:val="left"/>
    </w:lvl>
  </w:abstractNum>
  <w:abstractNum w:abstractNumId="1" w15:restartNumberingAfterBreak="0">
    <w:nsid w:val="3F2DBA31"/>
    <w:multiLevelType w:val="hybridMultilevel"/>
    <w:tmpl w:val="D14E49F0"/>
    <w:lvl w:ilvl="0" w:tplc="FF52817A">
      <w:start w:val="25"/>
      <w:numFmt w:val="decimal"/>
      <w:lvlText w:val="%1"/>
      <w:lvlJc w:val="left"/>
    </w:lvl>
    <w:lvl w:ilvl="1" w:tplc="ABAEC304">
      <w:numFmt w:val="decimal"/>
      <w:lvlText w:val=""/>
      <w:lvlJc w:val="left"/>
    </w:lvl>
    <w:lvl w:ilvl="2" w:tplc="ED52FFB4">
      <w:numFmt w:val="decimal"/>
      <w:lvlText w:val=""/>
      <w:lvlJc w:val="left"/>
    </w:lvl>
    <w:lvl w:ilvl="3" w:tplc="445E3FC0">
      <w:numFmt w:val="decimal"/>
      <w:lvlText w:val=""/>
      <w:lvlJc w:val="left"/>
    </w:lvl>
    <w:lvl w:ilvl="4" w:tplc="31781AA6">
      <w:numFmt w:val="decimal"/>
      <w:lvlText w:val=""/>
      <w:lvlJc w:val="left"/>
    </w:lvl>
    <w:lvl w:ilvl="5" w:tplc="BEC29D82">
      <w:numFmt w:val="decimal"/>
      <w:lvlText w:val=""/>
      <w:lvlJc w:val="left"/>
    </w:lvl>
    <w:lvl w:ilvl="6" w:tplc="0432392E">
      <w:numFmt w:val="decimal"/>
      <w:lvlText w:val=""/>
      <w:lvlJc w:val="left"/>
    </w:lvl>
    <w:lvl w:ilvl="7" w:tplc="FBA80C9E">
      <w:numFmt w:val="decimal"/>
      <w:lvlText w:val=""/>
      <w:lvlJc w:val="left"/>
    </w:lvl>
    <w:lvl w:ilvl="8" w:tplc="8F064C44">
      <w:numFmt w:val="decimal"/>
      <w:lvlText w:val=""/>
      <w:lvlJc w:val="left"/>
    </w:lvl>
  </w:abstractNum>
  <w:abstractNum w:abstractNumId="2" w15:restartNumberingAfterBreak="0">
    <w:nsid w:val="431BD7B7"/>
    <w:multiLevelType w:val="hybridMultilevel"/>
    <w:tmpl w:val="062C215C"/>
    <w:lvl w:ilvl="0" w:tplc="3AE4A1D0">
      <w:start w:val="14"/>
      <w:numFmt w:val="decimal"/>
      <w:lvlText w:val="%1"/>
      <w:lvlJc w:val="left"/>
    </w:lvl>
    <w:lvl w:ilvl="1" w:tplc="40A80000">
      <w:numFmt w:val="decimal"/>
      <w:lvlText w:val=""/>
      <w:lvlJc w:val="left"/>
    </w:lvl>
    <w:lvl w:ilvl="2" w:tplc="5BA67AB2">
      <w:numFmt w:val="decimal"/>
      <w:lvlText w:val=""/>
      <w:lvlJc w:val="left"/>
    </w:lvl>
    <w:lvl w:ilvl="3" w:tplc="A2E6FA98">
      <w:numFmt w:val="decimal"/>
      <w:lvlText w:val=""/>
      <w:lvlJc w:val="left"/>
    </w:lvl>
    <w:lvl w:ilvl="4" w:tplc="32C4D4FC">
      <w:numFmt w:val="decimal"/>
      <w:lvlText w:val=""/>
      <w:lvlJc w:val="left"/>
    </w:lvl>
    <w:lvl w:ilvl="5" w:tplc="61D0FC72">
      <w:numFmt w:val="decimal"/>
      <w:lvlText w:val=""/>
      <w:lvlJc w:val="left"/>
    </w:lvl>
    <w:lvl w:ilvl="6" w:tplc="557E537C">
      <w:numFmt w:val="decimal"/>
      <w:lvlText w:val=""/>
      <w:lvlJc w:val="left"/>
    </w:lvl>
    <w:lvl w:ilvl="7" w:tplc="2D9CFDB2">
      <w:numFmt w:val="decimal"/>
      <w:lvlText w:val=""/>
      <w:lvlJc w:val="left"/>
    </w:lvl>
    <w:lvl w:ilvl="8" w:tplc="353209CA">
      <w:numFmt w:val="decimal"/>
      <w:lvlText w:val=""/>
      <w:lvlJc w:val="left"/>
    </w:lvl>
  </w:abstractNum>
  <w:abstractNum w:abstractNumId="3" w15:restartNumberingAfterBreak="0">
    <w:nsid w:val="519B500D"/>
    <w:multiLevelType w:val="hybridMultilevel"/>
    <w:tmpl w:val="4DB6CAB0"/>
    <w:lvl w:ilvl="0" w:tplc="62860796">
      <w:start w:val="5"/>
      <w:numFmt w:val="decimal"/>
      <w:lvlText w:val="%1"/>
      <w:lvlJc w:val="left"/>
    </w:lvl>
    <w:lvl w:ilvl="1" w:tplc="4FD2BF42">
      <w:numFmt w:val="decimal"/>
      <w:lvlText w:val=""/>
      <w:lvlJc w:val="left"/>
    </w:lvl>
    <w:lvl w:ilvl="2" w:tplc="E86C1F96">
      <w:numFmt w:val="decimal"/>
      <w:lvlText w:val=""/>
      <w:lvlJc w:val="left"/>
    </w:lvl>
    <w:lvl w:ilvl="3" w:tplc="494A005E">
      <w:numFmt w:val="decimal"/>
      <w:lvlText w:val=""/>
      <w:lvlJc w:val="left"/>
    </w:lvl>
    <w:lvl w:ilvl="4" w:tplc="55FACA20">
      <w:numFmt w:val="decimal"/>
      <w:lvlText w:val=""/>
      <w:lvlJc w:val="left"/>
    </w:lvl>
    <w:lvl w:ilvl="5" w:tplc="BB821732">
      <w:numFmt w:val="decimal"/>
      <w:lvlText w:val=""/>
      <w:lvlJc w:val="left"/>
    </w:lvl>
    <w:lvl w:ilvl="6" w:tplc="1B32A5D6">
      <w:numFmt w:val="decimal"/>
      <w:lvlText w:val=""/>
      <w:lvlJc w:val="left"/>
    </w:lvl>
    <w:lvl w:ilvl="7" w:tplc="AB2A0AC0">
      <w:numFmt w:val="decimal"/>
      <w:lvlText w:val=""/>
      <w:lvlJc w:val="left"/>
    </w:lvl>
    <w:lvl w:ilvl="8" w:tplc="D5DAABB0">
      <w:numFmt w:val="decimal"/>
      <w:lvlText w:val=""/>
      <w:lvlJc w:val="left"/>
    </w:lvl>
  </w:abstractNum>
  <w:abstractNum w:abstractNumId="4" w15:restartNumberingAfterBreak="0">
    <w:nsid w:val="7C83E458"/>
    <w:multiLevelType w:val="hybridMultilevel"/>
    <w:tmpl w:val="1C7AD3E8"/>
    <w:lvl w:ilvl="0" w:tplc="2C287060">
      <w:start w:val="31"/>
      <w:numFmt w:val="decimal"/>
      <w:lvlText w:val="%1"/>
      <w:lvlJc w:val="left"/>
    </w:lvl>
    <w:lvl w:ilvl="1" w:tplc="883262D6">
      <w:numFmt w:val="decimal"/>
      <w:lvlText w:val=""/>
      <w:lvlJc w:val="left"/>
    </w:lvl>
    <w:lvl w:ilvl="2" w:tplc="09D473B8">
      <w:numFmt w:val="decimal"/>
      <w:lvlText w:val=""/>
      <w:lvlJc w:val="left"/>
    </w:lvl>
    <w:lvl w:ilvl="3" w:tplc="CDEC8AFE">
      <w:numFmt w:val="decimal"/>
      <w:lvlText w:val=""/>
      <w:lvlJc w:val="left"/>
    </w:lvl>
    <w:lvl w:ilvl="4" w:tplc="C4BC0C5E">
      <w:numFmt w:val="decimal"/>
      <w:lvlText w:val=""/>
      <w:lvlJc w:val="left"/>
    </w:lvl>
    <w:lvl w:ilvl="5" w:tplc="E1340522">
      <w:numFmt w:val="decimal"/>
      <w:lvlText w:val=""/>
      <w:lvlJc w:val="left"/>
    </w:lvl>
    <w:lvl w:ilvl="6" w:tplc="597ECE36">
      <w:numFmt w:val="decimal"/>
      <w:lvlText w:val=""/>
      <w:lvlJc w:val="left"/>
    </w:lvl>
    <w:lvl w:ilvl="7" w:tplc="70BC7F4C">
      <w:numFmt w:val="decimal"/>
      <w:lvlText w:val=""/>
      <w:lvlJc w:val="left"/>
    </w:lvl>
    <w:lvl w:ilvl="8" w:tplc="F096441A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6C"/>
    <w:rsid w:val="0053639C"/>
    <w:rsid w:val="00D1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C674"/>
  <w15:chartTrackingRefBased/>
  <w15:docId w15:val="{4EEEFE52-3A54-4E1E-ABAB-721C53FB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F6C"/>
    <w:pPr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golda kovaèiæ</dc:creator>
  <cp:keywords/>
  <dc:description/>
  <cp:lastModifiedBy>golda kovaèiæ</cp:lastModifiedBy>
  <cp:revision>1</cp:revision>
  <dcterms:created xsi:type="dcterms:W3CDTF">2017-10-02T18:41:00Z</dcterms:created>
  <dcterms:modified xsi:type="dcterms:W3CDTF">2017-10-02T18:46:00Z</dcterms:modified>
</cp:coreProperties>
</file>