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BFB" w:rsidRDefault="00AC2BCE">
      <w:pPr>
        <w:pStyle w:val="Publishwithline"/>
      </w:pPr>
      <w:r w:rsidRPr="009E6933">
        <w:rPr>
          <w:sz w:val="44"/>
          <w:szCs w:val="44"/>
        </w:rPr>
        <w:t>B</w:t>
      </w:r>
      <w:r>
        <w:rPr>
          <w:sz w:val="44"/>
          <w:szCs w:val="44"/>
        </w:rPr>
        <w:t>i-</w:t>
      </w:r>
      <w:r w:rsidRPr="009E6933">
        <w:rPr>
          <w:sz w:val="44"/>
          <w:szCs w:val="44"/>
        </w:rPr>
        <w:t xml:space="preserve">nostril transseptal endoscopic approach to </w:t>
      </w:r>
      <w:r>
        <w:rPr>
          <w:sz w:val="44"/>
          <w:szCs w:val="44"/>
        </w:rPr>
        <w:t xml:space="preserve">the </w:t>
      </w:r>
      <w:r w:rsidRPr="009E6933">
        <w:rPr>
          <w:sz w:val="44"/>
          <w:szCs w:val="44"/>
        </w:rPr>
        <w:t xml:space="preserve">sphenoidal </w:t>
      </w:r>
      <w:r w:rsidR="00FA0A40">
        <w:rPr>
          <w:sz w:val="44"/>
          <w:szCs w:val="44"/>
        </w:rPr>
        <w:t>gate. A</w:t>
      </w:r>
      <w:r>
        <w:rPr>
          <w:sz w:val="44"/>
          <w:szCs w:val="44"/>
        </w:rPr>
        <w:t xml:space="preserve"> new </w:t>
      </w:r>
      <w:r w:rsidRPr="009E6933">
        <w:rPr>
          <w:sz w:val="44"/>
          <w:szCs w:val="44"/>
        </w:rPr>
        <w:t>technique</w:t>
      </w:r>
      <w:r>
        <w:rPr>
          <w:rStyle w:val="FollowedHyperlink"/>
        </w:rPr>
        <w:t xml:space="preserve"> </w:t>
      </w:r>
    </w:p>
    <w:p w:rsidR="00390BFB" w:rsidRDefault="00390BFB">
      <w:pPr>
        <w:pStyle w:val="underline"/>
      </w:pPr>
    </w:p>
    <w:p w:rsidR="00390BFB" w:rsidRDefault="00390BFB">
      <w:pPr>
        <w:pStyle w:val="PadderBetweenControlandBody"/>
      </w:pPr>
    </w:p>
    <w:p w:rsidR="004A6328" w:rsidRDefault="004A6328" w:rsidP="004A6328">
      <w:pPr>
        <w:widowControl w:val="0"/>
        <w:autoSpaceDE w:val="0"/>
        <w:autoSpaceDN w:val="0"/>
        <w:adjustRightInd w:val="0"/>
        <w:spacing w:after="240" w:line="520" w:lineRule="atLeast"/>
        <w:rPr>
          <w:rFonts w:ascii="Times" w:hAnsi="Times" w:cs="Times"/>
          <w:sz w:val="24"/>
          <w:szCs w:val="24"/>
        </w:rPr>
      </w:pPr>
      <w:r w:rsidRPr="004A6328">
        <w:rPr>
          <w:rFonts w:hAnsi="Calibri" w:cs="Calibri"/>
          <w:sz w:val="36"/>
          <w:szCs w:val="36"/>
        </w:rPr>
        <w:t>Author</w:t>
      </w:r>
      <w:r>
        <w:rPr>
          <w:rFonts w:hAnsi="Calibri" w:cs="Calibri"/>
          <w:sz w:val="24"/>
          <w:szCs w:val="24"/>
        </w:rPr>
        <w:t xml:space="preserve">: </w:t>
      </w:r>
      <w:r>
        <w:rPr>
          <w:rFonts w:hAnsi="Calibri" w:cs="Calibri"/>
          <w:sz w:val="30"/>
          <w:szCs w:val="30"/>
        </w:rPr>
        <w:t xml:space="preserve">Ihsan Abbas Al-Baldawi Fellow of the European Board of Otorhinolaryngology, Head and Neck Surgery </w:t>
      </w:r>
    </w:p>
    <w:p w:rsidR="00E435F2" w:rsidRPr="00FA0A40" w:rsidRDefault="004A6328" w:rsidP="00FA0A40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sz w:val="24"/>
          <w:szCs w:val="24"/>
        </w:rPr>
      </w:pPr>
      <w:r>
        <w:rPr>
          <w:rFonts w:hAnsi="Calibri" w:cs="Calibri"/>
          <w:sz w:val="30"/>
          <w:szCs w:val="30"/>
        </w:rPr>
        <w:t>Department of otorhinolaryngology-skull base surgery Neuroscience hospital, Baghdad, Iraq </w:t>
      </w:r>
    </w:p>
    <w:p w:rsidR="00FA0A40" w:rsidRPr="00FA0A40" w:rsidRDefault="00FA0A40" w:rsidP="00FA0A40">
      <w:pPr>
        <w:pStyle w:val="Heading2"/>
        <w:shd w:val="clear" w:color="auto" w:fill="F2F2F2"/>
        <w:spacing w:before="0"/>
        <w:ind w:left="-262"/>
        <w:rPr>
          <w:rFonts w:ascii="Georgia" w:hAnsi="Georgia"/>
          <w:b w:val="0"/>
          <w:color w:val="333333"/>
          <w:spacing w:val="2"/>
          <w:sz w:val="32"/>
        </w:rPr>
      </w:pPr>
      <w:r w:rsidRPr="00FA0A40">
        <w:rPr>
          <w:rFonts w:ascii="Georgia" w:hAnsi="Georgia"/>
          <w:b w:val="0"/>
          <w:bCs/>
          <w:color w:val="333333"/>
          <w:spacing w:val="2"/>
          <w:sz w:val="32"/>
        </w:rPr>
        <w:t>Abstract</w:t>
      </w:r>
    </w:p>
    <w:p w:rsidR="00FA0A40" w:rsidRPr="00964856" w:rsidRDefault="00FA0A40" w:rsidP="00FA0A40">
      <w:pPr>
        <w:pStyle w:val="Heading3"/>
        <w:shd w:val="clear" w:color="auto" w:fill="FCFCFC"/>
        <w:spacing w:after="240"/>
        <w:rPr>
          <w:rFonts w:ascii="Georgia" w:hAnsi="Georgia"/>
          <w:bCs/>
          <w:color w:val="333333"/>
          <w:spacing w:val="2"/>
          <w:sz w:val="32"/>
          <w:szCs w:val="32"/>
        </w:rPr>
      </w:pPr>
      <w:r w:rsidRPr="00964856">
        <w:rPr>
          <w:rFonts w:ascii="Georgia" w:hAnsi="Georgia"/>
          <w:bCs/>
          <w:color w:val="333333"/>
          <w:spacing w:val="2"/>
          <w:sz w:val="32"/>
          <w:szCs w:val="32"/>
        </w:rPr>
        <w:t>Background</w:t>
      </w:r>
    </w:p>
    <w:p w:rsidR="00FA0A40" w:rsidRPr="00FA0A40" w:rsidRDefault="00FA0A40" w:rsidP="00FA0A40">
      <w:pPr>
        <w:pStyle w:val="para"/>
        <w:shd w:val="clear" w:color="auto" w:fill="FCFCFC"/>
        <w:spacing w:before="240" w:beforeAutospacing="0" w:after="288" w:afterAutospacing="0"/>
        <w:rPr>
          <w:rFonts w:ascii="Georgia" w:hAnsi="Georgia"/>
          <w:color w:val="333333"/>
          <w:spacing w:val="2"/>
          <w:sz w:val="32"/>
          <w:szCs w:val="32"/>
        </w:rPr>
      </w:pPr>
      <w:r w:rsidRPr="00FA0A40">
        <w:rPr>
          <w:rFonts w:ascii="Georgia" w:hAnsi="Georgia"/>
          <w:color w:val="333333"/>
          <w:spacing w:val="2"/>
          <w:sz w:val="32"/>
          <w:szCs w:val="32"/>
        </w:rPr>
        <w:t>There are multiple approaches to reach the sellar region using microscope or endoscope, which are the old sublabial, with its post-operative morbidities, or the uni-nostril transseptal, which has a limited working field. Another technique is the direct transnasal, which is associated with tissue sacrifice, and lastly the bi-nostril (one side transseptal-other side transnasal), aiming to preserve one of the septal flaps.</w:t>
      </w:r>
    </w:p>
    <w:p w:rsidR="00FA0A40" w:rsidRPr="00964856" w:rsidRDefault="00FA0A40" w:rsidP="00FA0A40">
      <w:pPr>
        <w:pStyle w:val="Heading3"/>
        <w:shd w:val="clear" w:color="auto" w:fill="FCFCFC"/>
        <w:spacing w:after="240"/>
        <w:rPr>
          <w:rFonts w:ascii="Georgia" w:hAnsi="Georgia"/>
          <w:color w:val="333333"/>
          <w:spacing w:val="2"/>
          <w:sz w:val="32"/>
          <w:szCs w:val="32"/>
        </w:rPr>
      </w:pPr>
      <w:r w:rsidRPr="00964856">
        <w:rPr>
          <w:rFonts w:ascii="Georgia" w:hAnsi="Georgia"/>
          <w:bCs/>
          <w:color w:val="333333"/>
          <w:spacing w:val="2"/>
          <w:sz w:val="32"/>
          <w:szCs w:val="32"/>
        </w:rPr>
        <w:t>Method</w:t>
      </w:r>
    </w:p>
    <w:p w:rsidR="00FA0A40" w:rsidRPr="00FA0A40" w:rsidRDefault="00FA0A40" w:rsidP="00FA0A40">
      <w:pPr>
        <w:pStyle w:val="para"/>
        <w:shd w:val="clear" w:color="auto" w:fill="FCFCFC"/>
        <w:spacing w:before="240" w:beforeAutospacing="0" w:after="288" w:afterAutospacing="0"/>
        <w:rPr>
          <w:rFonts w:ascii="Georgia" w:hAnsi="Georgia"/>
          <w:color w:val="333333"/>
          <w:spacing w:val="2"/>
          <w:sz w:val="32"/>
          <w:szCs w:val="32"/>
        </w:rPr>
      </w:pPr>
      <w:r w:rsidRPr="00FA0A40">
        <w:rPr>
          <w:rFonts w:ascii="Georgia" w:hAnsi="Georgia"/>
          <w:color w:val="333333"/>
          <w:spacing w:val="2"/>
          <w:sz w:val="32"/>
          <w:szCs w:val="32"/>
        </w:rPr>
        <w:t>We have 27 case studies using a new technique in which we access the sphenoid endoscopicaly through the nasal septum from both nostrils under the mucoperichondrial-periosteal flap.</w:t>
      </w:r>
    </w:p>
    <w:p w:rsidR="00FA0A40" w:rsidRPr="00964856" w:rsidRDefault="00FA0A40" w:rsidP="00FA0A40">
      <w:pPr>
        <w:pStyle w:val="Heading3"/>
        <w:shd w:val="clear" w:color="auto" w:fill="FCFCFC"/>
        <w:spacing w:after="240"/>
        <w:rPr>
          <w:rFonts w:ascii="Georgia" w:hAnsi="Georgia"/>
          <w:bCs/>
          <w:color w:val="333333"/>
          <w:spacing w:val="2"/>
          <w:sz w:val="28"/>
        </w:rPr>
      </w:pPr>
      <w:r w:rsidRPr="00964856">
        <w:rPr>
          <w:rFonts w:ascii="Georgia" w:hAnsi="Georgia"/>
          <w:bCs/>
          <w:color w:val="333333"/>
          <w:spacing w:val="2"/>
          <w:sz w:val="32"/>
          <w:szCs w:val="32"/>
        </w:rPr>
        <w:t>Conclusion</w:t>
      </w:r>
    </w:p>
    <w:p w:rsidR="00FA0A40" w:rsidRDefault="00FA0A40" w:rsidP="00FA0A40">
      <w:pPr>
        <w:pStyle w:val="Heading3"/>
        <w:shd w:val="clear" w:color="auto" w:fill="FCFCFC"/>
        <w:spacing w:after="240"/>
        <w:rPr>
          <w:rFonts w:ascii="Georgia" w:hAnsi="Georgia"/>
          <w:b w:val="0"/>
          <w:color w:val="333333"/>
          <w:spacing w:val="2"/>
          <w:sz w:val="32"/>
          <w:szCs w:val="32"/>
        </w:rPr>
      </w:pPr>
      <w:r w:rsidRPr="00207D6E">
        <w:rPr>
          <w:rFonts w:ascii="Georgia" w:hAnsi="Georgia"/>
          <w:b w:val="0"/>
          <w:color w:val="333333"/>
          <w:spacing w:val="2"/>
          <w:sz w:val="32"/>
          <w:szCs w:val="32"/>
        </w:rPr>
        <w:t>This new technique provides easy way of wide exposure to the sphenoidal gate, with easier closure of the operative field.</w:t>
      </w:r>
    </w:p>
    <w:p w:rsidR="00964856" w:rsidRDefault="00964856" w:rsidP="00FA0A40">
      <w:pPr>
        <w:pStyle w:val="Heading3"/>
        <w:shd w:val="clear" w:color="auto" w:fill="FCFCFC"/>
        <w:spacing w:after="240"/>
        <w:rPr>
          <w:rFonts w:ascii="Georgia" w:hAnsi="Georgia"/>
          <w:b w:val="0"/>
          <w:color w:val="333333"/>
          <w:spacing w:val="2"/>
          <w:sz w:val="32"/>
          <w:szCs w:val="32"/>
        </w:rPr>
      </w:pPr>
    </w:p>
    <w:p w:rsidR="00EC0C79" w:rsidRPr="00964856" w:rsidRDefault="00EC0C79" w:rsidP="00FA0A40">
      <w:pPr>
        <w:pStyle w:val="Heading3"/>
        <w:shd w:val="clear" w:color="auto" w:fill="FCFCFC"/>
        <w:spacing w:after="240"/>
        <w:rPr>
          <w:rFonts w:ascii="Georgia" w:hAnsi="Georgia"/>
          <w:b w:val="0"/>
          <w:color w:val="333333"/>
          <w:spacing w:val="2"/>
          <w:sz w:val="28"/>
        </w:rPr>
      </w:pPr>
      <w:r w:rsidRPr="00964856">
        <w:rPr>
          <w:rFonts w:ascii="Georgia" w:hAnsi="Georgia"/>
          <w:color w:val="333333"/>
          <w:spacing w:val="2"/>
          <w:sz w:val="32"/>
          <w:szCs w:val="32"/>
        </w:rPr>
        <w:lastRenderedPageBreak/>
        <w:t>Image 1</w:t>
      </w:r>
      <w:r w:rsidR="00964856">
        <w:rPr>
          <w:rFonts w:ascii="Georgia" w:hAnsi="Georgia"/>
          <w:b w:val="0"/>
          <w:color w:val="333333"/>
          <w:spacing w:val="2"/>
          <w:sz w:val="32"/>
          <w:szCs w:val="32"/>
        </w:rPr>
        <w:t>:</w:t>
      </w:r>
      <w:r w:rsidR="00964856" w:rsidRPr="00964856">
        <w:rPr>
          <w:sz w:val="20"/>
          <w:szCs w:val="20"/>
        </w:rPr>
        <w:t xml:space="preserve"> </w:t>
      </w:r>
      <w:r w:rsidR="00964856" w:rsidRPr="00964856">
        <w:rPr>
          <w:b w:val="0"/>
          <w:sz w:val="28"/>
        </w:rPr>
        <w:t>Diagram for comparing mean total anesthesia time in relation to the pre op. tumor size for the three different transsphenoidal approaches.</w:t>
      </w:r>
    </w:p>
    <w:p w:rsidR="001B367B" w:rsidRPr="00207D6E" w:rsidRDefault="001B367B" w:rsidP="00FA0A40">
      <w:pPr>
        <w:pStyle w:val="Heading3"/>
        <w:shd w:val="clear" w:color="auto" w:fill="FCFCFC"/>
        <w:spacing w:after="240"/>
        <w:rPr>
          <w:rFonts w:ascii="Georgia" w:hAnsi="Georgia"/>
          <w:b w:val="0"/>
          <w:color w:val="333333"/>
          <w:spacing w:val="2"/>
          <w:sz w:val="32"/>
          <w:szCs w:val="32"/>
        </w:rPr>
      </w:pPr>
    </w:p>
    <w:p w:rsidR="00964856" w:rsidRDefault="00964856">
      <w:pPr>
        <w:rPr>
          <w:b/>
          <w:sz w:val="36"/>
          <w:szCs w:val="32"/>
        </w:rPr>
      </w:pPr>
      <w:r>
        <w:rPr>
          <w:noProof/>
        </w:rPr>
        <w:lastRenderedPageBreak/>
        <w:drawing>
          <wp:inline distT="0" distB="0" distL="0" distR="0" wp14:anchorId="67320E2D" wp14:editId="0656C618">
            <wp:extent cx="5486400" cy="7264400"/>
            <wp:effectExtent l="0" t="0" r="25400" b="2540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64856" w:rsidRDefault="00964856">
      <w:pPr>
        <w:rPr>
          <w:b/>
          <w:sz w:val="36"/>
          <w:szCs w:val="32"/>
        </w:rPr>
      </w:pPr>
    </w:p>
    <w:p w:rsidR="00964856" w:rsidRDefault="00964856">
      <w:pPr>
        <w:rPr>
          <w:b/>
          <w:sz w:val="36"/>
          <w:szCs w:val="32"/>
        </w:rPr>
      </w:pPr>
    </w:p>
    <w:p w:rsidR="00390BFB" w:rsidRDefault="00AC2BCE">
      <w:pPr>
        <w:rPr>
          <w:b/>
          <w:sz w:val="28"/>
          <w:szCs w:val="24"/>
        </w:rPr>
      </w:pPr>
      <w:r>
        <w:rPr>
          <w:b/>
          <w:sz w:val="36"/>
          <w:szCs w:val="32"/>
        </w:rPr>
        <w:lastRenderedPageBreak/>
        <w:t>B</w:t>
      </w:r>
      <w:r w:rsidR="0078230F">
        <w:rPr>
          <w:b/>
          <w:sz w:val="36"/>
          <w:szCs w:val="32"/>
        </w:rPr>
        <w:t>iography</w:t>
      </w:r>
    </w:p>
    <w:p w:rsidR="00390BFB" w:rsidRDefault="0078230F">
      <w:pPr>
        <w:rPr>
          <w:sz w:val="28"/>
          <w:szCs w:val="24"/>
        </w:rPr>
      </w:pPr>
      <w:r>
        <w:rPr>
          <w:sz w:val="28"/>
          <w:szCs w:val="24"/>
        </w:rPr>
        <w:t xml:space="preserve"> Dr. Ihsan Abbas Al-Ba</w:t>
      </w:r>
      <w:r w:rsidR="003C2939">
        <w:rPr>
          <w:sz w:val="28"/>
          <w:szCs w:val="24"/>
        </w:rPr>
        <w:t xml:space="preserve">ldawi born in </w:t>
      </w:r>
      <w:r>
        <w:rPr>
          <w:sz w:val="28"/>
          <w:szCs w:val="24"/>
        </w:rPr>
        <w:t>Baghdad</w:t>
      </w:r>
      <w:r w:rsidR="003C2939">
        <w:rPr>
          <w:sz w:val="28"/>
          <w:szCs w:val="24"/>
        </w:rPr>
        <w:t xml:space="preserve"> \ Iraq in 1963</w:t>
      </w:r>
      <w:r w:rsidR="003C2939">
        <w:rPr>
          <w:noProof/>
          <w:sz w:val="28"/>
          <w:szCs w:val="24"/>
        </w:rPr>
        <w:drawing>
          <wp:anchor distT="0" distB="0" distL="114300" distR="114300" simplePos="0" relativeHeight="251658240" behindDoc="0" locked="0" layoutInCell="1" allowOverlap="1" wp14:anchorId="78767DA6" wp14:editId="74BF44EF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091698" cy="2736850"/>
            <wp:effectExtent l="0" t="0" r="3810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0003.jpg"/>
                    <pic:cNvPicPr/>
                  </pic:nvPicPr>
                  <pic:blipFill>
                    <a:blip r:embed="rId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698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2939">
        <w:rPr>
          <w:sz w:val="28"/>
          <w:szCs w:val="24"/>
        </w:rPr>
        <w:t>.  A graduate of collage of medicine/ University of Mosul/ Iraq M.B.Ch.B. in 1987.</w:t>
      </w:r>
    </w:p>
    <w:p w:rsidR="00390BFB" w:rsidRDefault="003C2939">
      <w:pPr>
        <w:rPr>
          <w:sz w:val="28"/>
          <w:szCs w:val="24"/>
        </w:rPr>
      </w:pPr>
      <w:r>
        <w:rPr>
          <w:sz w:val="28"/>
          <w:szCs w:val="24"/>
        </w:rPr>
        <w:t>He worked as obligatory military services doctor 1988-1992, then became resident in otolaryngology from 1997 till 2004.</w:t>
      </w:r>
    </w:p>
    <w:p w:rsidR="00390BFB" w:rsidRDefault="003C2939">
      <w:pPr>
        <w:rPr>
          <w:sz w:val="28"/>
          <w:szCs w:val="24"/>
        </w:rPr>
      </w:pPr>
      <w:r>
        <w:rPr>
          <w:sz w:val="28"/>
          <w:szCs w:val="24"/>
        </w:rPr>
        <w:t>-Diploma in Otorhinolaryngology from Baghdad medical collage in 2006</w:t>
      </w:r>
      <w:r w:rsidR="0078230F">
        <w:rPr>
          <w:sz w:val="28"/>
          <w:szCs w:val="24"/>
        </w:rPr>
        <w:t>. -</w:t>
      </w:r>
      <w:r>
        <w:rPr>
          <w:sz w:val="28"/>
          <w:szCs w:val="24"/>
        </w:rPr>
        <w:t>Fellow of the European Board of Otorhinolaryngology-Head and Neck surgery in Vienna 2014.</w:t>
      </w:r>
    </w:p>
    <w:p w:rsidR="00390BFB" w:rsidRDefault="003C2939">
      <w:pPr>
        <w:rPr>
          <w:sz w:val="28"/>
          <w:szCs w:val="24"/>
        </w:rPr>
      </w:pPr>
      <w:r>
        <w:rPr>
          <w:sz w:val="28"/>
          <w:szCs w:val="24"/>
        </w:rPr>
        <w:t>-ENT surgeon in AL-Kindy teaching hospital \Baghdad from 2006 till now.</w:t>
      </w:r>
      <w:r w:rsidR="0078230F">
        <w:rPr>
          <w:sz w:val="28"/>
          <w:szCs w:val="24"/>
        </w:rPr>
        <w:t xml:space="preserve"> </w:t>
      </w:r>
      <w:r>
        <w:rPr>
          <w:sz w:val="28"/>
          <w:szCs w:val="24"/>
        </w:rPr>
        <w:t>ENT-Skullbase surgeon in Neurosciences hospital \Baghdad from 2009 till now.</w:t>
      </w:r>
    </w:p>
    <w:p w:rsidR="00390BFB" w:rsidRDefault="003C2939">
      <w:pPr>
        <w:rPr>
          <w:sz w:val="28"/>
          <w:szCs w:val="24"/>
        </w:rPr>
      </w:pPr>
      <w:r>
        <w:rPr>
          <w:sz w:val="28"/>
          <w:szCs w:val="24"/>
        </w:rPr>
        <w:t xml:space="preserve">-Member of the Arab Association of otorhinological </w:t>
      </w:r>
      <w:r w:rsidR="00537FA5">
        <w:rPr>
          <w:sz w:val="28"/>
          <w:szCs w:val="24"/>
        </w:rPr>
        <w:t>surgeons</w:t>
      </w:r>
      <w:r w:rsidR="00537FA5">
        <w:rPr>
          <w:sz w:val="28"/>
          <w:szCs w:val="24"/>
        </w:rPr>
        <w:t>’</w:t>
      </w:r>
      <w:r>
        <w:rPr>
          <w:sz w:val="28"/>
          <w:szCs w:val="24"/>
        </w:rPr>
        <w:t xml:space="preserve"> society since 2011.</w:t>
      </w:r>
    </w:p>
    <w:p w:rsidR="00352E54" w:rsidRDefault="00352E54" w:rsidP="00352E54">
      <w:pPr>
        <w:pStyle w:val="Publishwithline"/>
        <w:rPr>
          <w:sz w:val="28"/>
          <w:szCs w:val="24"/>
        </w:rPr>
      </w:pPr>
      <w:r w:rsidRPr="001B367B">
        <w:rPr>
          <w:b/>
          <w:sz w:val="28"/>
          <w:szCs w:val="24"/>
        </w:rPr>
        <w:t>Publications</w:t>
      </w:r>
      <w:r>
        <w:rPr>
          <w:sz w:val="28"/>
          <w:szCs w:val="24"/>
        </w:rPr>
        <w:t xml:space="preserve"> : </w:t>
      </w:r>
    </w:p>
    <w:p w:rsidR="00352E54" w:rsidRDefault="00352E54" w:rsidP="00352E54">
      <w:pPr>
        <w:pStyle w:val="Publishwithline"/>
      </w:pPr>
      <w:r>
        <w:rPr>
          <w:sz w:val="28"/>
          <w:szCs w:val="24"/>
        </w:rPr>
        <w:t>1-</w:t>
      </w:r>
      <w:r w:rsidR="00537FA5">
        <w:rPr>
          <w:sz w:val="28"/>
          <w:szCs w:val="24"/>
        </w:rPr>
        <w:t xml:space="preserve"> </w:t>
      </w:r>
      <w:r>
        <w:rPr>
          <w:sz w:val="28"/>
          <w:szCs w:val="24"/>
        </w:rPr>
        <w:t>Al-Baldawi IA  (2017</w:t>
      </w:r>
      <w:r w:rsidR="00537FA5">
        <w:rPr>
          <w:sz w:val="28"/>
          <w:szCs w:val="24"/>
        </w:rPr>
        <w:t xml:space="preserve">). </w:t>
      </w:r>
      <w:r w:rsidRPr="00352E54">
        <w:rPr>
          <w:sz w:val="28"/>
          <w:szCs w:val="28"/>
        </w:rPr>
        <w:t>Bi-nostril transseptal endoscopic approach to the sphenoidal gate. A new technique</w:t>
      </w:r>
      <w:r>
        <w:rPr>
          <w:sz w:val="28"/>
          <w:szCs w:val="28"/>
        </w:rPr>
        <w:t>. Acta</w:t>
      </w:r>
      <w:r w:rsidR="00537FA5">
        <w:rPr>
          <w:sz w:val="28"/>
          <w:szCs w:val="28"/>
        </w:rPr>
        <w:t xml:space="preserve"> N</w:t>
      </w:r>
      <w:r>
        <w:rPr>
          <w:sz w:val="28"/>
          <w:szCs w:val="28"/>
        </w:rPr>
        <w:t xml:space="preserve">eurochirurgica (Wien) Jul; </w:t>
      </w:r>
      <w:r w:rsidR="001B367B">
        <w:rPr>
          <w:sz w:val="28"/>
          <w:szCs w:val="28"/>
        </w:rPr>
        <w:t xml:space="preserve">159(7): 1247-1252. </w:t>
      </w:r>
    </w:p>
    <w:p w:rsidR="00352E54" w:rsidRDefault="00352E54">
      <w:pPr>
        <w:rPr>
          <w:sz w:val="28"/>
          <w:szCs w:val="24"/>
        </w:rPr>
      </w:pPr>
      <w:bookmarkStart w:id="0" w:name="_GoBack"/>
      <w:bookmarkEnd w:id="0"/>
    </w:p>
    <w:p w:rsidR="0078230F" w:rsidRDefault="003C2939">
      <w:pPr>
        <w:rPr>
          <w:b/>
          <w:sz w:val="28"/>
          <w:szCs w:val="24"/>
        </w:rPr>
      </w:pPr>
      <w:r>
        <w:rPr>
          <w:b/>
          <w:sz w:val="28"/>
          <w:szCs w:val="24"/>
        </w:rPr>
        <w:t>Adress:</w:t>
      </w:r>
    </w:p>
    <w:p w:rsidR="0078230F" w:rsidRDefault="0078230F">
      <w:pPr>
        <w:rPr>
          <w:sz w:val="28"/>
          <w:szCs w:val="24"/>
        </w:rPr>
      </w:pPr>
      <w:r>
        <w:rPr>
          <w:sz w:val="28"/>
          <w:szCs w:val="24"/>
        </w:rPr>
        <w:t>Neuroscience Hospital</w:t>
      </w:r>
      <w:r w:rsidR="00964856">
        <w:rPr>
          <w:sz w:val="28"/>
          <w:szCs w:val="24"/>
        </w:rPr>
        <w:t xml:space="preserve">/ </w:t>
      </w:r>
      <w:r>
        <w:rPr>
          <w:sz w:val="28"/>
          <w:szCs w:val="24"/>
        </w:rPr>
        <w:t>Sader al-qanaat</w:t>
      </w:r>
      <w:r w:rsidR="00964856">
        <w:rPr>
          <w:sz w:val="28"/>
          <w:szCs w:val="24"/>
        </w:rPr>
        <w:t>\ Alr</w:t>
      </w:r>
      <w:r>
        <w:rPr>
          <w:sz w:val="28"/>
          <w:szCs w:val="24"/>
        </w:rPr>
        <w:t>esafa district</w:t>
      </w:r>
    </w:p>
    <w:p w:rsidR="00390BFB" w:rsidRDefault="003C2939">
      <w:pPr>
        <w:rPr>
          <w:b/>
          <w:sz w:val="28"/>
          <w:szCs w:val="24"/>
        </w:rPr>
      </w:pPr>
      <w:r>
        <w:rPr>
          <w:sz w:val="28"/>
          <w:szCs w:val="24"/>
        </w:rPr>
        <w:t>Baghdad-IRAQ</w:t>
      </w:r>
    </w:p>
    <w:p w:rsidR="00390BFB" w:rsidRDefault="003C2939">
      <w:pPr>
        <w:rPr>
          <w:sz w:val="28"/>
          <w:szCs w:val="24"/>
        </w:rPr>
      </w:pPr>
      <w:r>
        <w:rPr>
          <w:b/>
          <w:sz w:val="28"/>
          <w:szCs w:val="24"/>
        </w:rPr>
        <w:t xml:space="preserve">Mobile: </w:t>
      </w:r>
      <w:r>
        <w:rPr>
          <w:sz w:val="28"/>
          <w:szCs w:val="24"/>
        </w:rPr>
        <w:t xml:space="preserve">009647801348002 </w:t>
      </w:r>
    </w:p>
    <w:p w:rsidR="00390BFB" w:rsidRDefault="003C2939">
      <w:pPr>
        <w:rPr>
          <w:b/>
          <w:sz w:val="28"/>
          <w:szCs w:val="24"/>
        </w:rPr>
      </w:pPr>
      <w:r>
        <w:rPr>
          <w:b/>
          <w:sz w:val="28"/>
          <w:szCs w:val="24"/>
        </w:rPr>
        <w:t>E.Mail:</w:t>
      </w:r>
      <w:r>
        <w:rPr>
          <w:sz w:val="28"/>
          <w:szCs w:val="24"/>
        </w:rPr>
        <w:t xml:space="preserve"> drihsanabbas@yahoo.com</w:t>
      </w:r>
    </w:p>
    <w:sectPr w:rsidR="00390BF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charset w:val="00"/>
    <w:family w:val="swiss"/>
    <w:notTrueType/>
    <w:pitch w:val="variable"/>
    <w:sig w:usb0="00000003" w:usb1="00000000" w:usb2="00000000" w:usb3="00000000" w:csb0="00000001" w:csb1="00000000"/>
  </w:font>
  <w:font w:name="Carlito">
    <w:altName w:val="Calibri"/>
    <w:charset w:val="00"/>
    <w:family w:val="auto"/>
    <w:notTrueType/>
    <w:pitch w:val="variable"/>
    <w:sig w:usb0="E10002FF" w:usb1="5000ECFF" w:usb2="00000009" w:usb3="00000000" w:csb0="0000019F" w:csb1="00000000"/>
  </w:font>
  <w:font w:name="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activeWritingStyle w:appName="MSWord" w:lang="en-US" w:vendorID="64" w:dllVersion="6" w:nlCheck="1" w:checkStyle="1"/>
  <w:activeWritingStyle w:appName="MSWord" w:lang="en-GB" w:vendorID="64" w:dllVersion="6" w:nlCheck="1" w:checkStyle="1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Blog" w:val="1"/>
  </w:docVars>
  <w:rsids>
    <w:rsidRoot w:val="00E35258"/>
    <w:rsid w:val="00056924"/>
    <w:rsid w:val="0012235B"/>
    <w:rsid w:val="001B367B"/>
    <w:rsid w:val="00207D6E"/>
    <w:rsid w:val="003079E4"/>
    <w:rsid w:val="00352E54"/>
    <w:rsid w:val="00390BFB"/>
    <w:rsid w:val="003C2939"/>
    <w:rsid w:val="004A6328"/>
    <w:rsid w:val="004D54F4"/>
    <w:rsid w:val="00537FA5"/>
    <w:rsid w:val="0058681B"/>
    <w:rsid w:val="006A4ED4"/>
    <w:rsid w:val="0072289F"/>
    <w:rsid w:val="0078230F"/>
    <w:rsid w:val="00835997"/>
    <w:rsid w:val="00857503"/>
    <w:rsid w:val="00964856"/>
    <w:rsid w:val="00A81B55"/>
    <w:rsid w:val="00AC2BCE"/>
    <w:rsid w:val="00CC7EDA"/>
    <w:rsid w:val="00D57347"/>
    <w:rsid w:val="00E35258"/>
    <w:rsid w:val="00E435F2"/>
    <w:rsid w:val="00EC0C79"/>
    <w:rsid w:val="00FA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513B8E3F-B01F-8449-9FA1-1CDD0305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Times New Roman" w:cs="Times New Roman"/>
        <w:sz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5"/>
    <w:qFormat/>
    <w:pPr>
      <w:spacing w:before="200" w:after="0"/>
      <w:outlineLvl w:val="0"/>
    </w:pPr>
    <w:rPr>
      <w:b/>
      <w:color w:val="323E4F"/>
      <w:sz w:val="30"/>
      <w:szCs w:val="36"/>
    </w:rPr>
  </w:style>
  <w:style w:type="paragraph" w:styleId="Heading2">
    <w:name w:val="heading 2"/>
    <w:basedOn w:val="Normal"/>
    <w:uiPriority w:val="6"/>
    <w:qFormat/>
    <w:pPr>
      <w:spacing w:before="200" w:after="0"/>
      <w:outlineLvl w:val="1"/>
    </w:pPr>
    <w:rPr>
      <w:b/>
      <w:color w:val="323E4F"/>
      <w:sz w:val="26"/>
      <w:szCs w:val="32"/>
    </w:rPr>
  </w:style>
  <w:style w:type="paragraph" w:styleId="Heading3">
    <w:name w:val="heading 3"/>
    <w:basedOn w:val="Normal"/>
    <w:uiPriority w:val="7"/>
    <w:qFormat/>
    <w:pPr>
      <w:spacing w:before="200" w:after="0"/>
      <w:outlineLvl w:val="2"/>
    </w:pPr>
    <w:rPr>
      <w:b/>
      <w:color w:val="323E4F"/>
      <w:szCs w:val="28"/>
    </w:rPr>
  </w:style>
  <w:style w:type="paragraph" w:styleId="Heading4">
    <w:name w:val="heading 4"/>
    <w:basedOn w:val="Normal"/>
    <w:uiPriority w:val="8"/>
    <w:qFormat/>
    <w:pPr>
      <w:spacing w:before="200" w:after="0"/>
      <w:outlineLvl w:val="3"/>
    </w:pPr>
    <w:rPr>
      <w:color w:val="323E4F"/>
      <w:szCs w:val="28"/>
    </w:rPr>
  </w:style>
  <w:style w:type="paragraph" w:styleId="Heading5">
    <w:name w:val="heading 5"/>
    <w:basedOn w:val="Normal"/>
    <w:uiPriority w:val="9"/>
    <w:qFormat/>
    <w:pPr>
      <w:spacing w:before="200" w:after="0"/>
      <w:outlineLvl w:val="4"/>
    </w:pPr>
    <w:rPr>
      <w:i/>
      <w:color w:val="323E4F"/>
      <w:szCs w:val="28"/>
    </w:rPr>
  </w:style>
  <w:style w:type="paragraph" w:styleId="Heading6">
    <w:name w:val="heading 6"/>
    <w:basedOn w:val="Normal"/>
    <w:uiPriority w:val="10"/>
    <w:qFormat/>
    <w:pPr>
      <w:spacing w:before="200" w:after="0"/>
      <w:outlineLvl w:val="5"/>
    </w:pPr>
    <w:rPr>
      <w:b/>
      <w:color w:val="323E4F"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ublishwithline">
    <w:name w:val="Publish with line"/>
    <w:qFormat/>
    <w:pPr>
      <w:spacing w:after="0"/>
    </w:pPr>
    <w:rPr>
      <w:color w:val="262626"/>
      <w:sz w:val="32"/>
      <w:szCs w:val="38"/>
    </w:rPr>
  </w:style>
  <w:style w:type="paragraph" w:customStyle="1" w:styleId="PublishStatus">
    <w:name w:val="Publish Status"/>
    <w:basedOn w:val="Normal"/>
    <w:pPr>
      <w:pBdr>
        <w:top w:val="single" w:sz="8" w:space="1" w:color="E1E1E1"/>
        <w:left w:val="single" w:sz="8" w:space="2" w:color="F0F0F0"/>
        <w:bottom w:val="single" w:sz="8" w:space="1" w:color="E1E1E1"/>
        <w:right w:val="single" w:sz="8" w:space="2" w:color="F0F0F0"/>
      </w:pBdr>
      <w:shd w:val="clear" w:color="auto" w:fill="F0F0F0"/>
      <w:spacing w:before="100" w:after="100"/>
    </w:pPr>
    <w:rPr>
      <w:rFonts w:ascii="Segoe UI" w:hAnsi="Segoe UI"/>
      <w:color w:val="444444"/>
      <w:sz w:val="18"/>
      <w:szCs w:val="26"/>
    </w:rPr>
  </w:style>
  <w:style w:type="paragraph" w:customStyle="1" w:styleId="PublishStatusAccessible">
    <w:name w:val="PublishStatus_Accessible"/>
    <w:basedOn w:val="Normal"/>
    <w:pPr>
      <w:pBdr>
        <w:top w:val="single" w:sz="4" w:space="1" w:color="444444"/>
        <w:left w:val="single" w:sz="4" w:space="4" w:color="444444"/>
        <w:bottom w:val="single" w:sz="4" w:space="1" w:color="444444"/>
        <w:right w:val="single" w:sz="4" w:space="4" w:color="444444"/>
      </w:pBdr>
      <w:spacing w:before="100" w:after="100"/>
    </w:pPr>
    <w:rPr>
      <w:sz w:val="18"/>
      <w:szCs w:val="26"/>
    </w:rPr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Account">
    <w:name w:val="Account"/>
    <w:pPr>
      <w:tabs>
        <w:tab w:val="left" w:pos="72"/>
        <w:tab w:val="left" w:pos="1267"/>
      </w:tabs>
      <w:spacing w:after="0"/>
    </w:pPr>
    <w:rPr>
      <w:rFonts w:ascii="Segoe UI" w:eastAsia="Segoe UI" w:hAnsi="Segoe UI" w:cs="Segoe UI"/>
      <w:color w:val="666666"/>
      <w:sz w:val="18"/>
      <w:szCs w:val="24"/>
    </w:rPr>
  </w:style>
  <w:style w:type="paragraph" w:customStyle="1" w:styleId="Categories">
    <w:name w:val="Categories"/>
    <w:basedOn w:val="Account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PadderBetweenTitleandProperties">
    <w:name w:val="Padder Between Title and Properties"/>
    <w:basedOn w:val="Normal"/>
    <w:pPr>
      <w:spacing w:after="20"/>
    </w:pPr>
    <w:rPr>
      <w:sz w:val="2"/>
      <w:szCs w:val="2"/>
    </w:rPr>
  </w:style>
  <w:style w:type="paragraph" w:customStyle="1" w:styleId="PadderBetweenControlandBody">
    <w:name w:val="Padder Between Control and Body"/>
    <w:basedOn w:val="Normal"/>
    <w:pPr>
      <w:spacing w:after="120"/>
    </w:pPr>
    <w:rPr>
      <w:rFonts w:ascii="Carlito"/>
      <w:sz w:val="2"/>
      <w:szCs w:val="2"/>
    </w:rPr>
  </w:style>
  <w:style w:type="character" w:styleId="Emphasis">
    <w:name w:val="Emphasis"/>
    <w:basedOn w:val="DefaultParagraphFont"/>
    <w:uiPriority w:val="22"/>
    <w:qFormat/>
    <w:rPr>
      <w:i/>
    </w:rPr>
  </w:style>
  <w:style w:type="character" w:styleId="Strong">
    <w:name w:val="Strong"/>
    <w:basedOn w:val="DefaultParagraphFont"/>
    <w:uiPriority w:val="22"/>
    <w:qFormat/>
    <w:rPr>
      <w:b/>
    </w:rPr>
  </w:style>
  <w:style w:type="paragraph" w:customStyle="1" w:styleId="underline">
    <w:name w:val="underline"/>
    <w:pPr>
      <w:pBdr>
        <w:bottom w:val="single" w:sz="8" w:space="2" w:color="C6C6C6"/>
      </w:pBdr>
      <w:spacing w:after="0"/>
    </w:pPr>
    <w:rPr>
      <w:rFonts w:ascii="Carlito"/>
      <w:sz w:val="2"/>
      <w:szCs w:val="2"/>
    </w:rPr>
  </w:style>
  <w:style w:type="paragraph" w:styleId="Quote">
    <w:name w:val="Quote"/>
    <w:basedOn w:val="Normal"/>
    <w:uiPriority w:val="1"/>
    <w:qFormat/>
    <w:pPr>
      <w:ind w:left="720" w:right="720"/>
    </w:pPr>
    <w:rPr>
      <w:color w:val="000000"/>
    </w:rPr>
  </w:style>
  <w:style w:type="paragraph" w:styleId="NormalWeb">
    <w:name w:val="Normal (Web)"/>
    <w:basedOn w:val="Normal"/>
    <w:uiPriority w:val="1"/>
  </w:style>
  <w:style w:type="character" w:styleId="FollowedHyperlink">
    <w:name w:val="FollowedHyperlink"/>
    <w:basedOn w:val="DefaultParagraphFont"/>
    <w:uiPriority w:val="99"/>
    <w:semiHidden/>
    <w:unhideWhenUsed/>
    <w:rsid w:val="00AC2BCE"/>
    <w:rPr>
      <w:color w:val="954F72" w:themeColor="followedHyperlink"/>
      <w:u w:val="single"/>
    </w:rPr>
  </w:style>
  <w:style w:type="paragraph" w:customStyle="1" w:styleId="para">
    <w:name w:val="para"/>
    <w:basedOn w:val="Normal"/>
    <w:rsid w:val="00FA0A40"/>
    <w:pPr>
      <w:spacing w:before="100" w:beforeAutospacing="1" w:after="100" w:afterAutospacing="1"/>
    </w:pPr>
    <w:rPr>
      <w:rFonts w:ascii="Times" w:hAnsi="Times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0C79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C7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3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1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image" Target="media/image1.jpeg" /><Relationship Id="rId5" Type="http://schemas.openxmlformats.org/officeDocument/2006/relationships/chart" Target="charts/chart1.xml" /><Relationship Id="rId4" Type="http://schemas.openxmlformats.org/officeDocument/2006/relationships/webSettings" Target="webSettings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Blog.dotx" TargetMode="External" 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 /><Relationship Id="rId1" Type="http://schemas.openxmlformats.org/officeDocument/2006/relationships/oleObject" Target="file:///E:\Dr.Ihsan\Book1.xlsx" TargetMode="External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Type of Approach</a:t>
            </a:r>
            <a:r>
              <a:rPr lang="en-US" baseline="0"/>
              <a:t> in relation to Size of Tumor&amp;Time of operation in minutes</a:t>
            </a:r>
            <a:endParaRPr lang="en-US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58472019391458"/>
          <c:y val="9.4538606403013203E-2"/>
          <c:w val="0.627057557097906"/>
          <c:h val="0.7778783160579499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Sheet1!$C$55</c:f>
              <c:strCache>
                <c:ptCount val="1"/>
                <c:pt idx="0">
                  <c:v>size of tumour/cubic cm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Sheet1!$B$56:$B$58</c:f>
              <c:strCache>
                <c:ptCount val="3"/>
                <c:pt idx="0">
                  <c:v>Binostril</c:v>
                </c:pt>
                <c:pt idx="1">
                  <c:v>uninostril</c:v>
                </c:pt>
                <c:pt idx="2">
                  <c:v>D.Transnasal</c:v>
                </c:pt>
              </c:strCache>
            </c:strRef>
          </c:cat>
          <c:val>
            <c:numRef>
              <c:f>Sheet1!$C$56:$C$58</c:f>
              <c:numCache>
                <c:formatCode>General</c:formatCode>
                <c:ptCount val="3"/>
                <c:pt idx="0">
                  <c:v>39.75</c:v>
                </c:pt>
                <c:pt idx="1">
                  <c:v>22</c:v>
                </c:pt>
                <c:pt idx="2">
                  <c:v>46.5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A5-A847-A406-19772037A2D4}"/>
            </c:ext>
          </c:extLst>
        </c:ser>
        <c:ser>
          <c:idx val="1"/>
          <c:order val="1"/>
          <c:tx>
            <c:strRef>
              <c:f>Sheet1!$D$55</c:f>
              <c:strCache>
                <c:ptCount val="1"/>
                <c:pt idx="0">
                  <c:v>Mean Time in minute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Sheet1!$B$56:$B$58</c:f>
              <c:strCache>
                <c:ptCount val="3"/>
                <c:pt idx="0">
                  <c:v>Binostril</c:v>
                </c:pt>
                <c:pt idx="1">
                  <c:v>uninostril</c:v>
                </c:pt>
                <c:pt idx="2">
                  <c:v>D.Transnasal</c:v>
                </c:pt>
              </c:strCache>
            </c:strRef>
          </c:cat>
          <c:val>
            <c:numRef>
              <c:f>Sheet1!$D$56:$D$58</c:f>
              <c:numCache>
                <c:formatCode>General</c:formatCode>
                <c:ptCount val="3"/>
                <c:pt idx="0">
                  <c:v>177</c:v>
                </c:pt>
                <c:pt idx="1">
                  <c:v>128</c:v>
                </c:pt>
                <c:pt idx="2">
                  <c:v>218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9A5-A847-A406-19772037A2D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-2132955256"/>
        <c:axId val="-2132945544"/>
        <c:axId val="0"/>
      </c:bar3DChart>
      <c:catAx>
        <c:axId val="-2132955256"/>
        <c:scaling>
          <c:orientation val="minMax"/>
        </c:scaling>
        <c:delete val="1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200"/>
                  <a:t>Type of Approach</a:t>
                </a:r>
              </a:p>
            </c:rich>
          </c:tx>
          <c:layout>
            <c:manualLayout>
              <c:xMode val="edge"/>
              <c:yMode val="edge"/>
              <c:x val="0.31502642236641998"/>
              <c:y val="0.94849355694944903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crossAx val="-2132945544"/>
        <c:crosses val="autoZero"/>
        <c:auto val="1"/>
        <c:lblAlgn val="ctr"/>
        <c:lblOffset val="100"/>
        <c:noMultiLvlLbl val="0"/>
      </c:catAx>
      <c:valAx>
        <c:axId val="-213294554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200"/>
                  <a:t>Size of Tumor</a:t>
                </a:r>
                <a:r>
                  <a:rPr lang="en-US" sz="1200" baseline="0"/>
                  <a:t> </a:t>
                </a:r>
                <a:r>
                  <a:rPr lang="en-US" sz="1200"/>
                  <a:t>&amp; Mean Time of operation</a:t>
                </a:r>
                <a:r>
                  <a:rPr lang="en-US"/>
                  <a:t>.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-21329552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0.21033</cdr:x>
      <cdr:y>0.84746</cdr:y>
    </cdr:from>
    <cdr:to>
      <cdr:x>0.75754</cdr:x>
      <cdr:y>0.99572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1397000" y="5715000"/>
          <a:ext cx="3634666" cy="99985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bi-nostril</a:t>
          </a:r>
          <a:r>
            <a:rPr lang="en-US" sz="1100" baseline="0"/>
            <a:t>                       uni-nostril                      direct </a:t>
          </a:r>
        </a:p>
        <a:p xmlns:a="http://schemas.openxmlformats.org/drawingml/2006/main">
          <a:r>
            <a:rPr lang="en-US" sz="1100" baseline="0"/>
            <a:t>transseptal                    transsepal                    transnasa   </a:t>
          </a:r>
        </a:p>
        <a:p xmlns:a="http://schemas.openxmlformats.org/drawingml/2006/main">
          <a:r>
            <a:rPr lang="en-US" sz="1100" baseline="0"/>
            <a:t>l      </a:t>
          </a:r>
          <a:endParaRPr lang="en-US" sz="1100"/>
        </a:p>
      </cdr:txBody>
    </cdr:sp>
  </cdr:relSizeAnchor>
</c:userShapes>
</file>

<file path=word/theme/theme1.xml><?xml version="1.0" encoding="utf-8"?>
<a:theme xmlns:a="http://schemas.openxmlformats.org/drawingml/2006/main" name="Blog">
  <a:themeElements>
    <a:clrScheme name="Blo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log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lo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98000"/>
                <a:satMod val="300000"/>
              </a:schemeClr>
            </a:gs>
            <a:gs pos="25000">
              <a:schemeClr val="phClr">
                <a:tint val="37000"/>
                <a:shade val="98000"/>
                <a:satMod val="300000"/>
              </a:schemeClr>
            </a:gs>
            <a:gs pos="100000">
              <a:schemeClr val="phClr">
                <a:tint val="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75000"/>
                <a:satMod val="160000"/>
              </a:schemeClr>
            </a:gs>
            <a:gs pos="62000">
              <a:schemeClr val="phClr">
                <a:satMod val="125000"/>
              </a:schemeClr>
            </a:gs>
            <a:gs pos="100000">
              <a:schemeClr val="phClr">
                <a:tint val="80000"/>
                <a:satMod val="140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45882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/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75000"/>
                <a:satMod val="250000"/>
              </a:schemeClr>
            </a:gs>
            <a:gs pos="20000">
              <a:schemeClr val="phClr">
                <a:shade val="85000"/>
                <a:satMod val="175000"/>
              </a:schemeClr>
            </a:gs>
            <a:gs pos="100000">
              <a:schemeClr val="phClr">
                <a:tint val="70000"/>
                <a:satMod val="17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0000"/>
                <a:satMod val="145000"/>
              </a:schemeClr>
            </a:gs>
            <a:gs pos="30000">
              <a:schemeClr val="phClr">
                <a:shade val="65000"/>
                <a:satMod val="155000"/>
              </a:schemeClr>
            </a:gs>
            <a:gs pos="100000">
              <a:schemeClr val="phClr">
                <a:tint val="6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logPostInfo xmlns="http://www.microsoft.com/Office/Word/BlogTool">
  <PostTitle/>
  <PostDate/>
  <PostID/>
  <Category1/>
  <Category2/>
  <Category3/>
  <Category4/>
  <Category5/>
  <Category6/>
  <Category7/>
  <Category8/>
  <Category9/>
  <Category10/>
  <Account/>
  <Enclosure/>
  <ProviderInfo>
    <PostURL/>
    <API/>
    <Categories/>
    <Trackbacks/>
    <Enclosures/>
    <BlogName/>
    <ImagePostAddress/>
  </ProviderInfo>
  <DefaultAccountEnsured/>
</BlogPostInfo>
</file>

<file path=customXml/itemProps1.xml><?xml version="1.0" encoding="utf-8"?>
<ds:datastoreItem xmlns:ds="http://schemas.openxmlformats.org/officeDocument/2006/customXml" ds:itemID="{5F329CAD-B019-4FA6-9FEF-74898909AD20}">
  <ds:schemaRefs>
    <ds:schemaRef ds:uri="http://www.microsoft.com/Office/Word/BlogToo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Blog.dotx</Template>
  <TotalTime>3</TotalTime>
  <Pages>4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ihsan albeldawi</dc:creator>
  <cp:keywords/>
  <dc:description/>
  <cp:lastModifiedBy/>
  <cp:revision>2</cp:revision>
  <dcterms:created xsi:type="dcterms:W3CDTF">2017-12-09T10:04:00Z</dcterms:created>
  <dcterms:modified xsi:type="dcterms:W3CDTF">2017-12-09T10:04:00Z</dcterms:modified>
</cp:coreProperties>
</file>