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5CE" w:rsidRPr="008625CE" w:rsidRDefault="008625CE" w:rsidP="008625CE">
      <w:pPr>
        <w:spacing w:line="360" w:lineRule="auto"/>
        <w:jc w:val="center"/>
        <w:rPr>
          <w:color w:val="337AB7"/>
        </w:rPr>
      </w:pPr>
      <w:r w:rsidRPr="008625CE">
        <w:rPr>
          <w:color w:val="337AB7"/>
        </w:rPr>
        <w:t>Reorganization of auditory cortex in tinnitus with a</w:t>
      </w:r>
      <w:r w:rsidRPr="008625CE">
        <w:rPr>
          <w:rFonts w:hint="eastAsia"/>
          <w:color w:val="337AB7"/>
        </w:rPr>
        <w:t xml:space="preserve"> n</w:t>
      </w:r>
      <w:r w:rsidRPr="008625CE">
        <w:rPr>
          <w:color w:val="337AB7"/>
        </w:rPr>
        <w:t xml:space="preserve">ormal </w:t>
      </w:r>
      <w:r w:rsidRPr="008625CE">
        <w:rPr>
          <w:rFonts w:hint="eastAsia"/>
          <w:color w:val="337AB7"/>
        </w:rPr>
        <w:t>a</w:t>
      </w:r>
      <w:r w:rsidRPr="008625CE">
        <w:rPr>
          <w:color w:val="337AB7"/>
        </w:rPr>
        <w:t>udiogram</w:t>
      </w:r>
    </w:p>
    <w:p w:rsidR="008625CE" w:rsidRPr="008625CE" w:rsidRDefault="008625CE" w:rsidP="008625CE">
      <w:pPr>
        <w:rPr>
          <w:rFonts w:ascii="Times New Roman" w:hAnsi="Times New Roman"/>
          <w:sz w:val="21"/>
          <w:szCs w:val="21"/>
        </w:rPr>
      </w:pPr>
      <w:r w:rsidRPr="008625CE">
        <w:rPr>
          <w:rFonts w:ascii="Times New Roman" w:hAnsi="Times New Roman"/>
          <w:sz w:val="21"/>
          <w:szCs w:val="21"/>
        </w:rPr>
        <w:t>Department of Otolaryngology</w:t>
      </w:r>
      <w:r w:rsidRPr="008625CE">
        <w:rPr>
          <w:rFonts w:ascii="Times New Roman" w:hAnsi="Times New Roman" w:hint="eastAsia"/>
          <w:sz w:val="21"/>
          <w:szCs w:val="21"/>
        </w:rPr>
        <w:t xml:space="preserve"> head and neck surgery</w:t>
      </w:r>
      <w:r w:rsidRPr="008625CE">
        <w:rPr>
          <w:rFonts w:ascii="Times New Roman" w:hAnsi="Times New Roman"/>
          <w:sz w:val="21"/>
          <w:szCs w:val="21"/>
        </w:rPr>
        <w:t>, Shanghai Jiao Tong University Affiliated Sixth People’s Hospital, Shanghai, China, 200233</w:t>
      </w: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8625CE" w:rsidRPr="00866952" w:rsidRDefault="008625CE" w:rsidP="008625CE">
      <w:pPr>
        <w:autoSpaceDE w:val="0"/>
        <w:autoSpaceDN w:val="0"/>
        <w:adjustRightInd w:val="0"/>
        <w:spacing w:line="36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H</w:t>
      </w:r>
      <w:r w:rsidRPr="005168A7">
        <w:rPr>
          <w:rFonts w:ascii="Times New Roman" w:hAnsi="Times New Roman"/>
          <w:sz w:val="24"/>
          <w:szCs w:val="24"/>
        </w:rPr>
        <w:t>igh-density electroencephalogram (EEG) source analysis</w:t>
      </w:r>
      <w:r>
        <w:rPr>
          <w:rFonts w:ascii="Dutch801BT-Bold" w:hAnsi="Dutch801BT-Bold" w:cs="Dutch801BT-Bold"/>
          <w:b/>
          <w:bCs/>
          <w:sz w:val="18"/>
          <w:szCs w:val="18"/>
        </w:rPr>
        <w:t xml:space="preserve"> </w:t>
      </w:r>
      <w:r w:rsidRPr="00866952">
        <w:rPr>
          <w:rFonts w:ascii="Times New Roman" w:hAnsi="Times New Roman"/>
          <w:sz w:val="24"/>
          <w:szCs w:val="24"/>
        </w:rPr>
        <w:t>was used to determine</w:t>
      </w:r>
    </w:p>
    <w:p w:rsidR="008625CE" w:rsidRDefault="008625CE" w:rsidP="008625CE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EastAsia" w:hAnsi="Times New Roman" w:hint="eastAsia"/>
          <w:sz w:val="24"/>
          <w:szCs w:val="24"/>
          <w:lang w:eastAsia="zh-CN"/>
        </w:rPr>
      </w:pPr>
      <w:r w:rsidRPr="00866952">
        <w:rPr>
          <w:rFonts w:ascii="Times New Roman" w:hAnsi="Times New Roman"/>
          <w:sz w:val="24"/>
          <w:szCs w:val="24"/>
        </w:rPr>
        <w:t>whether</w:t>
      </w:r>
      <w:r w:rsidRPr="00866952">
        <w:rPr>
          <w:rFonts w:ascii="Times New Roman" w:hAnsi="Times New Roman" w:hint="eastAsia"/>
          <w:sz w:val="24"/>
          <w:szCs w:val="24"/>
        </w:rPr>
        <w:t xml:space="preserve"> there is r</w:t>
      </w:r>
      <w:r w:rsidRPr="00866952">
        <w:rPr>
          <w:rFonts w:ascii="Times New Roman" w:hAnsi="Times New Roman"/>
          <w:sz w:val="24"/>
          <w:szCs w:val="24"/>
        </w:rPr>
        <w:t>eorganization of auditory cortex in tinnitus with a</w:t>
      </w:r>
      <w:r w:rsidRPr="00866952">
        <w:rPr>
          <w:rFonts w:ascii="Times New Roman" w:hAnsi="Times New Roman" w:hint="eastAsia"/>
          <w:sz w:val="24"/>
          <w:szCs w:val="24"/>
        </w:rPr>
        <w:t xml:space="preserve"> n</w:t>
      </w:r>
      <w:r w:rsidRPr="00866952">
        <w:rPr>
          <w:rFonts w:ascii="Times New Roman" w:hAnsi="Times New Roman"/>
          <w:sz w:val="24"/>
          <w:szCs w:val="24"/>
        </w:rPr>
        <w:t xml:space="preserve">ormal </w:t>
      </w:r>
      <w:r>
        <w:rPr>
          <w:rFonts w:ascii="Times New Roman" w:hAnsi="Times New Roman" w:hint="eastAsia"/>
          <w:sz w:val="24"/>
          <w:szCs w:val="24"/>
        </w:rPr>
        <w:t>a</w:t>
      </w:r>
      <w:r w:rsidRPr="00866952">
        <w:rPr>
          <w:rFonts w:ascii="Times New Roman" w:hAnsi="Times New Roman"/>
          <w:sz w:val="24"/>
          <w:szCs w:val="24"/>
        </w:rPr>
        <w:t>udio</w:t>
      </w:r>
      <w:r w:rsidRPr="0089657D">
        <w:rPr>
          <w:rFonts w:ascii="Times New Roman" w:hAnsi="Times New Roman"/>
          <w:sz w:val="24"/>
          <w:szCs w:val="24"/>
        </w:rPr>
        <w:t>gram</w:t>
      </w:r>
      <w:r>
        <w:rPr>
          <w:rFonts w:ascii="Times New Roman" w:hAnsi="Times New Roman" w:hint="eastAsia"/>
          <w:sz w:val="24"/>
          <w:szCs w:val="24"/>
        </w:rPr>
        <w:t>.</w:t>
      </w:r>
      <w:r w:rsidRPr="00866952">
        <w:rPr>
          <w:rFonts w:ascii="Times New Roman" w:hAnsi="Times New Roman"/>
          <w:sz w:val="24"/>
          <w:szCs w:val="24"/>
        </w:rPr>
        <w:t xml:space="preserve"> </w:t>
      </w:r>
      <w:r w:rsidRPr="00175251">
        <w:rPr>
          <w:rFonts w:ascii="Times New Roman" w:hAnsi="Times New Roman"/>
          <w:sz w:val="24"/>
          <w:szCs w:val="24"/>
        </w:rPr>
        <w:t>Brain responses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463A">
        <w:rPr>
          <w:rFonts w:ascii="Times New Roman" w:hAnsi="Times New Roman"/>
          <w:sz w:val="24"/>
          <w:szCs w:val="24"/>
        </w:rPr>
        <w:t xml:space="preserve">from </w:t>
      </w:r>
      <w:r>
        <w:rPr>
          <w:rFonts w:ascii="Times New Roman" w:hAnsi="Times New Roman" w:hint="eastAsia"/>
          <w:sz w:val="24"/>
          <w:szCs w:val="24"/>
        </w:rPr>
        <w:t>45</w:t>
      </w:r>
      <w:r w:rsidRPr="006C463A">
        <w:rPr>
          <w:rFonts w:ascii="Times New Roman" w:hAnsi="Times New Roman"/>
          <w:sz w:val="24"/>
          <w:szCs w:val="24"/>
        </w:rPr>
        <w:t xml:space="preserve"> healthy </w:t>
      </w:r>
      <w:r w:rsidRPr="00DA224B">
        <w:rPr>
          <w:rFonts w:ascii="Times New Roman" w:hAnsi="Times New Roman"/>
          <w:sz w:val="24"/>
          <w:szCs w:val="24"/>
        </w:rPr>
        <w:t>right-handed</w:t>
      </w:r>
      <w:r w:rsidRPr="006C46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tinnitus patients</w:t>
      </w:r>
      <w:r w:rsidRPr="006C463A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 w:hint="eastAsia"/>
          <w:sz w:val="24"/>
          <w:szCs w:val="24"/>
        </w:rPr>
        <w:t>20</w:t>
      </w:r>
      <w:r w:rsidRPr="006C463A">
        <w:rPr>
          <w:rFonts w:ascii="Times New Roman" w:hAnsi="Times New Roman"/>
          <w:sz w:val="24"/>
          <w:szCs w:val="24"/>
        </w:rPr>
        <w:t xml:space="preserve"> matched controls </w:t>
      </w:r>
      <w:r>
        <w:rPr>
          <w:rFonts w:ascii="Times New Roman" w:hAnsi="Times New Roman" w:hint="eastAsia"/>
          <w:sz w:val="24"/>
          <w:szCs w:val="24"/>
        </w:rPr>
        <w:t xml:space="preserve">with </w:t>
      </w:r>
      <w:r w:rsidRPr="00314CD6">
        <w:rPr>
          <w:rFonts w:ascii="Times New Roman" w:hAnsi="Times New Roman"/>
          <w:sz w:val="24"/>
          <w:szCs w:val="24"/>
        </w:rPr>
        <w:t>normal audiometry (</w:t>
      </w:r>
      <w:r>
        <w:rPr>
          <w:rFonts w:ascii="Times New Roman" w:hAnsi="Times New Roman" w:hint="eastAsia"/>
          <w:sz w:val="24"/>
          <w:szCs w:val="24"/>
        </w:rPr>
        <w:t xml:space="preserve">pure tone </w:t>
      </w:r>
      <w:r w:rsidRPr="00314CD6">
        <w:rPr>
          <w:rFonts w:ascii="Times New Roman" w:hAnsi="Times New Roman"/>
          <w:sz w:val="24"/>
          <w:szCs w:val="24"/>
        </w:rPr>
        <w:t>threshold below 25 dB HL at all fre</w:t>
      </w:r>
      <w:r>
        <w:rPr>
          <w:rFonts w:ascii="Times New Roman" w:hAnsi="Times New Roman" w:hint="eastAsia"/>
          <w:sz w:val="24"/>
          <w:szCs w:val="24"/>
        </w:rPr>
        <w:t>qu</w:t>
      </w:r>
      <w:r w:rsidRPr="00314CD6">
        <w:rPr>
          <w:rFonts w:ascii="Times New Roman" w:hAnsi="Times New Roman"/>
          <w:sz w:val="24"/>
          <w:szCs w:val="24"/>
        </w:rPr>
        <w:t>encies from 0.</w:t>
      </w:r>
      <w:r>
        <w:rPr>
          <w:rFonts w:ascii="Times New Roman" w:hAnsi="Times New Roman" w:hint="eastAsia"/>
          <w:sz w:val="24"/>
          <w:szCs w:val="24"/>
        </w:rPr>
        <w:t>1</w:t>
      </w:r>
      <w:r w:rsidRPr="00314CD6">
        <w:rPr>
          <w:rFonts w:ascii="Times New Roman" w:hAnsi="Times New Roman"/>
          <w:sz w:val="24"/>
          <w:szCs w:val="24"/>
        </w:rPr>
        <w:t xml:space="preserve">25 to </w:t>
      </w:r>
      <w:r>
        <w:rPr>
          <w:rFonts w:ascii="Times New Roman" w:hAnsi="Times New Roman" w:hint="eastAsia"/>
          <w:sz w:val="24"/>
          <w:szCs w:val="24"/>
        </w:rPr>
        <w:t>8</w:t>
      </w:r>
      <w:r w:rsidRPr="00314CD6">
        <w:rPr>
          <w:rFonts w:ascii="Times New Roman" w:hAnsi="Times New Roman"/>
          <w:sz w:val="24"/>
          <w:szCs w:val="24"/>
        </w:rPr>
        <w:t xml:space="preserve"> kHz)</w:t>
      </w:r>
      <w:r w:rsidRPr="0017525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C463A">
        <w:rPr>
          <w:rFonts w:ascii="Times New Roman" w:hAnsi="Times New Roman"/>
          <w:sz w:val="24"/>
          <w:szCs w:val="24"/>
        </w:rPr>
        <w:t xml:space="preserve">were recorded with a </w:t>
      </w:r>
      <w:r>
        <w:rPr>
          <w:rFonts w:ascii="Times New Roman" w:hAnsi="Times New Roman" w:hint="eastAsia"/>
          <w:sz w:val="24"/>
          <w:szCs w:val="24"/>
        </w:rPr>
        <w:t>256</w:t>
      </w:r>
      <w:r w:rsidRPr="006C463A">
        <w:rPr>
          <w:rFonts w:ascii="Times New Roman" w:hAnsi="Times New Roman"/>
          <w:sz w:val="24"/>
          <w:szCs w:val="24"/>
        </w:rPr>
        <w:t>-channel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A224B">
        <w:rPr>
          <w:rFonts w:ascii="Times New Roman" w:hAnsi="Times New Roman"/>
          <w:sz w:val="24"/>
          <w:szCs w:val="24"/>
        </w:rPr>
        <w:t>high-density</w:t>
      </w:r>
      <w:r w:rsidRPr="006C463A">
        <w:rPr>
          <w:rFonts w:ascii="Times New Roman" w:hAnsi="Times New Roman"/>
          <w:sz w:val="24"/>
          <w:szCs w:val="24"/>
        </w:rPr>
        <w:t xml:space="preserve"> electroencephalogram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B5D44">
        <w:rPr>
          <w:rFonts w:ascii="Times New Roman" w:hAnsi="Times New Roman"/>
          <w:sz w:val="24"/>
          <w:szCs w:val="24"/>
        </w:rPr>
        <w:t>(HD-EEG)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 w:rsidRPr="003D1B27">
        <w:rPr>
          <w:rFonts w:ascii="Times New Roman" w:hAnsi="Times New Roman"/>
          <w:sz w:val="24"/>
          <w:szCs w:val="24"/>
        </w:rPr>
        <w:t>auditory brainstem responses</w:t>
      </w:r>
      <w:r>
        <w:rPr>
          <w:rFonts w:ascii="Times New Roman" w:hAnsi="Times New Roman" w:hint="eastAsia"/>
          <w:sz w:val="24"/>
          <w:szCs w:val="24"/>
        </w:rPr>
        <w:t>. W</w:t>
      </w:r>
      <w:r w:rsidRPr="003D1B27">
        <w:rPr>
          <w:rFonts w:ascii="Times New Roman" w:hAnsi="Times New Roman"/>
          <w:sz w:val="24"/>
          <w:szCs w:val="24"/>
        </w:rPr>
        <w:t>e report</w:t>
      </w:r>
      <w:r>
        <w:rPr>
          <w:rFonts w:ascii="Times New Roman" w:hAnsi="Times New Roman" w:hint="eastAsia"/>
          <w:sz w:val="24"/>
          <w:szCs w:val="24"/>
        </w:rPr>
        <w:t>ed</w:t>
      </w:r>
      <w:r w:rsidRPr="003D1B27">
        <w:rPr>
          <w:rFonts w:ascii="Times New Roman" w:hAnsi="Times New Roman"/>
          <w:sz w:val="24"/>
          <w:szCs w:val="24"/>
        </w:rPr>
        <w:t xml:space="preserve"> that in human subjects with tinnitus and a normal audiogram,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3D1B27">
        <w:rPr>
          <w:rFonts w:ascii="Times New Roman" w:hAnsi="Times New Roman"/>
          <w:sz w:val="24"/>
          <w:szCs w:val="24"/>
        </w:rPr>
        <w:t>auditory brainstem responses show a significantly reduced amplitude of the wave I potential but normal amplitudes of wave V.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>marked shift of the cortical representation of the tinnitus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>frequency into an area adjacent to the expected tonotopic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>location was observed</w:t>
      </w:r>
      <w:r>
        <w:rPr>
          <w:rFonts w:ascii="Times New Roman" w:hAnsi="Times New Roman" w:hint="eastAsia"/>
          <w:sz w:val="24"/>
          <w:szCs w:val="24"/>
        </w:rPr>
        <w:t xml:space="preserve"> after source analysis</w:t>
      </w:r>
      <w:r w:rsidRPr="00D45E0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>This provides evidence of “hidden hearing loss” that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>manifests as reduced neural output from the cochlea</w:t>
      </w:r>
      <w:r w:rsidRPr="009535C6">
        <w:rPr>
          <w:rFonts w:ascii="Times New Roman" w:hAnsi="Times New Roman"/>
          <w:sz w:val="24"/>
          <w:szCs w:val="24"/>
        </w:rPr>
        <w:t xml:space="preserve"> </w:t>
      </w:r>
      <w:r w:rsidRPr="00D45E03">
        <w:rPr>
          <w:rFonts w:ascii="Times New Roman" w:hAnsi="Times New Roman"/>
          <w:sz w:val="24"/>
          <w:szCs w:val="24"/>
        </w:rPr>
        <w:t xml:space="preserve">in the absence of elevated hearing thresholds, and consequent </w:t>
      </w:r>
      <w:r w:rsidRPr="009535C6">
        <w:rPr>
          <w:rFonts w:ascii="Times New Roman" w:hAnsi="Times New Roman"/>
          <w:sz w:val="24"/>
          <w:szCs w:val="24"/>
        </w:rPr>
        <w:t>cortical reorganization</w:t>
      </w:r>
      <w:r>
        <w:rPr>
          <w:rFonts w:ascii="Times New Roman" w:hAnsi="Times New Roman" w:hint="eastAsia"/>
          <w:sz w:val="24"/>
          <w:szCs w:val="24"/>
        </w:rPr>
        <w:t xml:space="preserve">. </w:t>
      </w: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hint="eastAsia"/>
          <w:sz w:val="24"/>
          <w:szCs w:val="24"/>
          <w:lang w:eastAsia="zh-CN"/>
        </w:rPr>
      </w:pPr>
    </w:p>
    <w:p w:rsidR="008625CE" w:rsidRPr="008625CE" w:rsidRDefault="008625CE" w:rsidP="008625CE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813C17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w:drawing>
          <wp:inline distT="0" distB="0" distL="0" distR="0">
            <wp:extent cx="3165475" cy="1725563"/>
            <wp:effectExtent l="19050" t="0" r="0" b="0"/>
            <wp:docPr id="2" name="图片 2" descr="D:\2016.5.20\耳鸣中枢化\皮层重组\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6.5.20\耳鸣中枢化\皮层重组\未标题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25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C7DA9" w:rsidRDefault="00EC7DA9" w:rsidP="00EC7DA9">
      <w:pPr>
        <w:pStyle w:val="Default"/>
        <w:spacing w:line="360" w:lineRule="auto"/>
        <w:jc w:val="both"/>
        <w:rPr>
          <w:rFonts w:hint="eastAsia"/>
          <w:sz w:val="21"/>
          <w:szCs w:val="21"/>
        </w:rPr>
      </w:pPr>
      <w:r w:rsidRPr="00EC7DA9">
        <w:rPr>
          <w:rFonts w:hint="eastAsia"/>
          <w:sz w:val="21"/>
          <w:szCs w:val="21"/>
        </w:rPr>
        <w:t>1.</w:t>
      </w:r>
      <w:r w:rsidRPr="00EC7DA9">
        <w:rPr>
          <w:sz w:val="21"/>
          <w:szCs w:val="21"/>
        </w:rPr>
        <w:t xml:space="preserve"> Hui Wang</w:t>
      </w:r>
      <w:r>
        <w:rPr>
          <w:sz w:val="21"/>
          <w:szCs w:val="21"/>
        </w:rPr>
        <w:t xml:space="preserve">, Bei Li, Yanmei Feng, Biao Cui, Hongmin Wu*, Haibo Shi*, Shankai Yin,A Pilot Study of EEG Source Analysis Based Repetitive Transcranial Magnetic Stimulation for the Treatment of Tinnitus, PLoS ONE, 10(10): e0139622. doi:10.1371/journal.pone.0139622 </w:t>
      </w:r>
    </w:p>
    <w:p w:rsidR="00EC7DA9" w:rsidRDefault="00EC7DA9" w:rsidP="00EC7DA9">
      <w:pPr>
        <w:pStyle w:val="Default"/>
        <w:spacing w:line="360" w:lineRule="auto"/>
        <w:jc w:val="both"/>
        <w:rPr>
          <w:rFonts w:hint="eastAsia"/>
          <w:color w:val="auto"/>
          <w:kern w:val="2"/>
          <w:sz w:val="21"/>
          <w:szCs w:val="21"/>
        </w:rPr>
      </w:pPr>
      <w:r w:rsidRPr="00EC7DA9">
        <w:rPr>
          <w:rFonts w:hint="eastAsia"/>
          <w:sz w:val="21"/>
          <w:szCs w:val="21"/>
        </w:rPr>
        <w:t xml:space="preserve">2. </w:t>
      </w:r>
      <w:r w:rsidRPr="00EC7DA9">
        <w:rPr>
          <w:sz w:val="21"/>
          <w:szCs w:val="21"/>
        </w:rPr>
        <w:t>Hui Wang, B. Li, et al. (2016). "</w:t>
      </w:r>
      <w:r w:rsidRPr="00427625">
        <w:rPr>
          <w:color w:val="auto"/>
          <w:kern w:val="2"/>
          <w:sz w:val="21"/>
          <w:szCs w:val="21"/>
        </w:rPr>
        <w:t>Factor Analysis of Low-Frequency Repetitive Transcranial Magnetic Stimulation to the Temporoparietal Junction for Tinnitus." Neural Plast 2016: 2814056.</w:t>
      </w:r>
    </w:p>
    <w:p w:rsidR="00EC7DA9" w:rsidRDefault="00EC7DA9" w:rsidP="00EC7DA9">
      <w:pPr>
        <w:pStyle w:val="Default"/>
        <w:spacing w:line="360" w:lineRule="auto"/>
        <w:jc w:val="both"/>
        <w:rPr>
          <w:rFonts w:hint="eastAsia"/>
          <w:color w:val="auto"/>
          <w:kern w:val="2"/>
          <w:sz w:val="21"/>
          <w:szCs w:val="21"/>
        </w:rPr>
      </w:pPr>
      <w:r>
        <w:rPr>
          <w:rFonts w:hint="eastAsia"/>
          <w:color w:val="auto"/>
          <w:kern w:val="2"/>
          <w:sz w:val="21"/>
          <w:szCs w:val="21"/>
        </w:rPr>
        <w:t xml:space="preserve">3. </w:t>
      </w:r>
      <w:r w:rsidR="009439FC" w:rsidRPr="009439FC">
        <w:rPr>
          <w:color w:val="auto"/>
          <w:kern w:val="2"/>
          <w:sz w:val="21"/>
          <w:szCs w:val="21"/>
        </w:rPr>
        <w:t>Hui Wang, Bei Li, Hongmin Wu*, Haibo Shi *, Shankai Yin</w:t>
      </w:r>
      <w:r w:rsidR="009439FC" w:rsidRPr="009439FC">
        <w:rPr>
          <w:rFonts w:hint="eastAsia"/>
          <w:color w:val="auto"/>
          <w:kern w:val="2"/>
          <w:sz w:val="21"/>
          <w:szCs w:val="21"/>
        </w:rPr>
        <w:t xml:space="preserve">, </w:t>
      </w:r>
      <w:r w:rsidR="009439FC" w:rsidRPr="009439FC">
        <w:rPr>
          <w:color w:val="auto"/>
          <w:kern w:val="2"/>
          <w:sz w:val="21"/>
          <w:szCs w:val="21"/>
        </w:rPr>
        <w:t>Combination of gaps in noise detection and visual analog scale for measuring tinnitus components in patients treated with repetitive transcranial magnetic stimulation</w:t>
      </w:r>
      <w:r w:rsidR="009439FC" w:rsidRPr="009439FC">
        <w:rPr>
          <w:rFonts w:hint="eastAsia"/>
          <w:color w:val="auto"/>
          <w:kern w:val="2"/>
          <w:sz w:val="21"/>
          <w:szCs w:val="21"/>
        </w:rPr>
        <w:t xml:space="preserve">, </w:t>
      </w:r>
      <w:r w:rsidR="009439FC" w:rsidRPr="009439FC">
        <w:rPr>
          <w:color w:val="auto"/>
          <w:kern w:val="2"/>
          <w:sz w:val="21"/>
          <w:szCs w:val="21"/>
        </w:rPr>
        <w:t>Auris Nasus Larynx</w:t>
      </w:r>
      <w:r w:rsidR="009439FC" w:rsidRPr="009439FC">
        <w:rPr>
          <w:rFonts w:hint="eastAsia"/>
          <w:color w:val="auto"/>
          <w:kern w:val="2"/>
          <w:sz w:val="21"/>
          <w:szCs w:val="21"/>
        </w:rPr>
        <w:t xml:space="preserve">, </w:t>
      </w:r>
      <w:r w:rsidR="009439FC" w:rsidRPr="009439FC">
        <w:rPr>
          <w:color w:val="auto"/>
          <w:kern w:val="2"/>
          <w:sz w:val="21"/>
          <w:szCs w:val="21"/>
        </w:rPr>
        <w:t>Larynx,2015, 43(3): 254-258.</w:t>
      </w:r>
    </w:p>
    <w:p w:rsidR="009925F5" w:rsidRDefault="009439FC" w:rsidP="009925F5">
      <w:pPr>
        <w:pStyle w:val="Default"/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color w:val="auto"/>
          <w:kern w:val="2"/>
          <w:sz w:val="21"/>
          <w:szCs w:val="21"/>
        </w:rPr>
        <w:t>4.</w:t>
      </w:r>
      <w:r w:rsidR="009925F5">
        <w:rPr>
          <w:rFonts w:ascii="Arial" w:hAnsi="Arial" w:cs="Arial" w:hint="eastAsia"/>
        </w:rPr>
        <w:t xml:space="preserve"> </w:t>
      </w:r>
      <w:r w:rsidR="009925F5" w:rsidRPr="009925F5">
        <w:rPr>
          <w:color w:val="auto"/>
          <w:kern w:val="2"/>
          <w:sz w:val="21"/>
          <w:szCs w:val="21"/>
        </w:rPr>
        <w:t>Li, B., H. Wang, et al. (2016). "The Importance of Acoustic Temporal Fine Structure Cues in Different Spectral Regions for Mandarin Sentence Recognition." Ear Hear 37(1): e52-56.</w:t>
      </w:r>
    </w:p>
    <w:p w:rsidR="009439FC" w:rsidRPr="00427625" w:rsidRDefault="009439FC" w:rsidP="00EC7DA9">
      <w:pPr>
        <w:pStyle w:val="Default"/>
        <w:spacing w:line="360" w:lineRule="auto"/>
        <w:jc w:val="both"/>
        <w:rPr>
          <w:rFonts w:hint="eastAsia"/>
          <w:color w:val="auto"/>
          <w:kern w:val="2"/>
          <w:sz w:val="21"/>
          <w:szCs w:val="21"/>
        </w:rPr>
      </w:pPr>
      <w:r>
        <w:rPr>
          <w:rFonts w:hint="eastAsia"/>
          <w:color w:val="auto"/>
          <w:kern w:val="2"/>
          <w:sz w:val="21"/>
          <w:szCs w:val="21"/>
        </w:rPr>
        <w:t>5.</w:t>
      </w:r>
      <w:r w:rsidR="007279BF" w:rsidRPr="007279BF">
        <w:rPr>
          <w:color w:val="221E1F"/>
          <w:sz w:val="26"/>
          <w:szCs w:val="26"/>
        </w:rPr>
        <w:t xml:space="preserve"> </w:t>
      </w:r>
      <w:r w:rsidR="007279BF" w:rsidRPr="007279BF">
        <w:rPr>
          <w:color w:val="auto"/>
          <w:kern w:val="2"/>
          <w:sz w:val="21"/>
          <w:szCs w:val="21"/>
        </w:rPr>
        <w:t>Hui Li, GangFeng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>,</w:t>
      </w:r>
      <w:r w:rsidR="007279BF" w:rsidRPr="007279BF">
        <w:rPr>
          <w:color w:val="auto"/>
          <w:kern w:val="2"/>
          <w:sz w:val="21"/>
          <w:szCs w:val="21"/>
        </w:rPr>
        <w:t xml:space="preserve"> HuiWang*, YanmeiFeng*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 xml:space="preserve">, </w:t>
      </w:r>
      <w:r w:rsidR="007279BF" w:rsidRPr="007279BF">
        <w:rPr>
          <w:color w:val="auto"/>
          <w:kern w:val="2"/>
          <w:sz w:val="21"/>
          <w:szCs w:val="21"/>
        </w:rPr>
        <w:t>Intratympanic Steroid Therapy as a Salvage Treatment for Sudden Sensorineural Hearing Loss After Failure of Conventional Therapy: A Meta-analysis of Randomized, Controlled Trials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 xml:space="preserve">, </w:t>
      </w:r>
      <w:r w:rsidR="007279BF" w:rsidRPr="007279BF">
        <w:rPr>
          <w:color w:val="auto"/>
          <w:kern w:val="2"/>
          <w:sz w:val="21"/>
          <w:szCs w:val="21"/>
        </w:rPr>
        <w:t>Clinical Therapeutics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>,</w:t>
      </w:r>
      <w:r w:rsidR="007279BF" w:rsidRPr="007279BF">
        <w:rPr>
          <w:color w:val="auto"/>
          <w:kern w:val="2"/>
          <w:sz w:val="21"/>
          <w:szCs w:val="21"/>
        </w:rPr>
        <w:t xml:space="preserve"> 2015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>,</w:t>
      </w:r>
      <w:r w:rsidR="007279BF" w:rsidRPr="007279BF">
        <w:rPr>
          <w:color w:val="auto"/>
          <w:kern w:val="2"/>
          <w:sz w:val="21"/>
          <w:szCs w:val="21"/>
        </w:rPr>
        <w:t>37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>(</w:t>
      </w:r>
      <w:r w:rsidR="007279BF" w:rsidRPr="007279BF">
        <w:rPr>
          <w:color w:val="auto"/>
          <w:kern w:val="2"/>
          <w:sz w:val="21"/>
          <w:szCs w:val="21"/>
        </w:rPr>
        <w:t>1</w:t>
      </w:r>
      <w:r w:rsidR="007279BF" w:rsidRPr="007279BF">
        <w:rPr>
          <w:rFonts w:hint="eastAsia"/>
          <w:color w:val="auto"/>
          <w:kern w:val="2"/>
          <w:sz w:val="21"/>
          <w:szCs w:val="21"/>
        </w:rPr>
        <w:t>):178-187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5F7606">
      <w:pPr>
        <w:pStyle w:val="a3"/>
        <w:spacing w:line="40" w:lineRule="exact"/>
        <w:ind w:left="2202"/>
        <w:rPr>
          <w:rFonts w:ascii="Calibri"/>
          <w:sz w:val="4"/>
        </w:rPr>
      </w:pPr>
      <w:r w:rsidRPr="005F7606">
        <w:rPr>
          <w:rFonts w:ascii="Calibri"/>
          <w:noProof/>
          <w:sz w:val="4"/>
          <w:lang w:val="en-IN" w:eastAsia="en-IN"/>
        </w:rPr>
      </w:r>
      <w:r w:rsidRPr="005F7606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13C17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609746" cy="848564"/>
            <wp:effectExtent l="19050" t="0" r="0" b="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48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4A5EEA" w:rsidRPr="004A5EEA" w:rsidRDefault="00813C17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Dr. Hui Wang</w:t>
      </w:r>
      <w:r w:rsidR="00A9710C">
        <w:rPr>
          <w:rFonts w:ascii="Arial"/>
          <w:sz w:val="14"/>
        </w:rPr>
        <w:t xml:space="preserve"> has her expertise in evaluation and passion in </w:t>
      </w:r>
      <w:r w:rsidR="004A5EEA">
        <w:rPr>
          <w:rFonts w:ascii="Arial" w:eastAsiaTheme="minorEastAsia" w:hint="eastAsia"/>
          <w:sz w:val="14"/>
          <w:lang w:eastAsia="zh-CN"/>
        </w:rPr>
        <w:t xml:space="preserve">researching about otology. </w:t>
      </w:r>
      <w:r w:rsidR="00D808FD" w:rsidRPr="00D808FD">
        <w:rPr>
          <w:rFonts w:ascii="Arial" w:eastAsiaTheme="minorEastAsia"/>
          <w:sz w:val="14"/>
          <w:lang w:eastAsia="zh-CN"/>
        </w:rPr>
        <w:t xml:space="preserve">She served as the secretary of Otorhinolaryngology institute in Chinese Medical Association Shanghai tinnitus Branch. She has taken charge of </w:t>
      </w:r>
      <w:r w:rsidR="00D808FD">
        <w:rPr>
          <w:rFonts w:ascii="Arial" w:eastAsiaTheme="minorEastAsia" w:hint="eastAsia"/>
          <w:sz w:val="14"/>
          <w:lang w:eastAsia="zh-CN"/>
        </w:rPr>
        <w:t>2</w:t>
      </w:r>
      <w:r w:rsidR="00D808FD" w:rsidRPr="00D808FD">
        <w:rPr>
          <w:rFonts w:ascii="Arial" w:eastAsiaTheme="minorEastAsia"/>
          <w:sz w:val="14"/>
          <w:lang w:eastAsia="zh-CN"/>
        </w:rPr>
        <w:t xml:space="preserve"> project of National Nature Science Foundation of China and Postdoctoral Science Foundation of China.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13C17" w:rsidRPr="006C7AE9">
          <w:rPr>
            <w:rStyle w:val="a8"/>
            <w:rFonts w:ascii="Arial" w:eastAsiaTheme="minorEastAsia" w:hint="eastAsia"/>
            <w:sz w:val="14"/>
            <w:lang w:eastAsia="zh-CN"/>
          </w:rPr>
          <w:t>wangh2014@163.com</w:t>
        </w:r>
      </w:hyperlink>
    </w:p>
    <w:p w:rsidR="00AE3E37" w:rsidRDefault="005F7606">
      <w:pPr>
        <w:pStyle w:val="a3"/>
        <w:spacing w:before="2"/>
        <w:rPr>
          <w:rFonts w:ascii="Arial"/>
          <w:sz w:val="19"/>
        </w:rPr>
      </w:pPr>
      <w:r w:rsidRPr="005F7606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34F" w:rsidRDefault="0039634F">
      <w:r>
        <w:separator/>
      </w:r>
    </w:p>
  </w:endnote>
  <w:endnote w:type="continuationSeparator" w:id="0">
    <w:p w:rsidR="0039634F" w:rsidRDefault="00396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801BT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F7606">
    <w:pPr>
      <w:pStyle w:val="a3"/>
      <w:spacing w:line="14" w:lineRule="auto"/>
      <w:rPr>
        <w:sz w:val="20"/>
      </w:rPr>
    </w:pPr>
    <w:r w:rsidRPr="005F760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5F7606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F7606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34F" w:rsidRDefault="0039634F">
      <w:r>
        <w:separator/>
      </w:r>
    </w:p>
  </w:footnote>
  <w:footnote w:type="continuationSeparator" w:id="0">
    <w:p w:rsidR="0039634F" w:rsidRDefault="003963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F7606">
    <w:pPr>
      <w:pStyle w:val="a3"/>
      <w:spacing w:line="14" w:lineRule="auto"/>
      <w:rPr>
        <w:sz w:val="20"/>
      </w:rPr>
    </w:pPr>
    <w:r w:rsidRPr="005F760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F7606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292ED9"/>
    <w:rsid w:val="00362333"/>
    <w:rsid w:val="0039634F"/>
    <w:rsid w:val="00404E5B"/>
    <w:rsid w:val="00414F7B"/>
    <w:rsid w:val="0042758D"/>
    <w:rsid w:val="004355DC"/>
    <w:rsid w:val="004749B4"/>
    <w:rsid w:val="00494130"/>
    <w:rsid w:val="004A5EEA"/>
    <w:rsid w:val="004F3523"/>
    <w:rsid w:val="005973B9"/>
    <w:rsid w:val="005B3A56"/>
    <w:rsid w:val="005F7606"/>
    <w:rsid w:val="006060CE"/>
    <w:rsid w:val="0063497F"/>
    <w:rsid w:val="007279BF"/>
    <w:rsid w:val="007863B4"/>
    <w:rsid w:val="007E2F3A"/>
    <w:rsid w:val="00813C17"/>
    <w:rsid w:val="008625CE"/>
    <w:rsid w:val="00873DF0"/>
    <w:rsid w:val="008756E6"/>
    <w:rsid w:val="009439FC"/>
    <w:rsid w:val="00972752"/>
    <w:rsid w:val="009925F5"/>
    <w:rsid w:val="009B2D44"/>
    <w:rsid w:val="00A07E82"/>
    <w:rsid w:val="00A86EC9"/>
    <w:rsid w:val="00A9710C"/>
    <w:rsid w:val="00AE3E37"/>
    <w:rsid w:val="00B21A57"/>
    <w:rsid w:val="00B73F8B"/>
    <w:rsid w:val="00BC6FF7"/>
    <w:rsid w:val="00C33602"/>
    <w:rsid w:val="00CD6F55"/>
    <w:rsid w:val="00D808FD"/>
    <w:rsid w:val="00DE3104"/>
    <w:rsid w:val="00E44F22"/>
    <w:rsid w:val="00EC7B82"/>
    <w:rsid w:val="00EC7DA9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C7DA9"/>
    <w:pPr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ngh2014@163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</cp:lastModifiedBy>
  <cp:revision>17</cp:revision>
  <dcterms:created xsi:type="dcterms:W3CDTF">2016-12-02T11:11:00Z</dcterms:created>
  <dcterms:modified xsi:type="dcterms:W3CDTF">2017-03-14T09:38:00Z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