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108" w:rsidRPr="002E7108" w:rsidRDefault="002E7108" w:rsidP="002E7108">
      <w:pPr>
        <w:spacing w:line="360" w:lineRule="auto"/>
        <w:rPr>
          <w:rFonts w:ascii="Times New Roman" w:hAnsi="Times New Roman" w:cs="Times New Roman"/>
          <w:b/>
          <w:sz w:val="36"/>
          <w:szCs w:val="36"/>
        </w:rPr>
      </w:pPr>
      <w:r w:rsidRPr="002E7108">
        <w:rPr>
          <w:rFonts w:ascii="Times New Roman" w:hAnsi="Times New Roman" w:cs="Times New Roman"/>
          <w:b/>
          <w:sz w:val="36"/>
          <w:szCs w:val="36"/>
        </w:rPr>
        <w:t>Chebulinic acid attenuates LPS induced bone loss in mice by ameliorating ROS &amp; inflammation via blockage of NFkB pathway</w:t>
      </w:r>
    </w:p>
    <w:p w:rsidR="002E7108" w:rsidRDefault="002E7108" w:rsidP="002E7108">
      <w:pPr>
        <w:spacing w:line="360" w:lineRule="auto"/>
        <w:rPr>
          <w:rFonts w:ascii="Times New Roman" w:hAnsi="Times New Roman" w:cs="Times New Roman"/>
          <w:sz w:val="24"/>
          <w:szCs w:val="24"/>
          <w:shd w:val="clear" w:color="auto" w:fill="FFFFFF"/>
        </w:rPr>
      </w:pPr>
      <w:r w:rsidRPr="00F012ED">
        <w:rPr>
          <w:rFonts w:ascii="Times New Roman" w:hAnsi="Times New Roman" w:cs="Times New Roman"/>
          <w:sz w:val="24"/>
          <w:szCs w:val="24"/>
          <w:u w:val="single"/>
          <w:shd w:val="clear" w:color="auto" w:fill="FFFFFF"/>
        </w:rPr>
        <w:t>Kriti Sharma</w:t>
      </w:r>
      <w:r w:rsidRPr="00F012E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Shiv Kumar, Ravi Prakash, Sonu Khanka, Tripti Mishra, </w:t>
      </w:r>
      <w:r w:rsidR="00A61946">
        <w:rPr>
          <w:rFonts w:ascii="Times New Roman" w:hAnsi="Times New Roman" w:cs="Times New Roman"/>
          <w:sz w:val="24"/>
          <w:szCs w:val="24"/>
          <w:shd w:val="clear" w:color="auto" w:fill="FFFFFF"/>
        </w:rPr>
        <w:t xml:space="preserve">Rajat Rathur, </w:t>
      </w:r>
      <w:r w:rsidRPr="00F012ED">
        <w:rPr>
          <w:rFonts w:ascii="Times New Roman" w:hAnsi="Times New Roman" w:cs="Times New Roman"/>
          <w:sz w:val="24"/>
          <w:szCs w:val="24"/>
          <w:shd w:val="clear" w:color="auto" w:fill="FFFFFF"/>
        </w:rPr>
        <w:t>T. Narendra*, Divya Singh*</w:t>
      </w:r>
    </w:p>
    <w:p w:rsidR="002E7108" w:rsidRPr="00F012ED" w:rsidRDefault="002E7108" w:rsidP="002E7108">
      <w:pPr>
        <w:spacing w:line="360" w:lineRule="auto"/>
        <w:rPr>
          <w:rFonts w:ascii="Times New Roman" w:hAnsi="Times New Roman" w:cs="Times New Roman"/>
          <w:sz w:val="24"/>
          <w:szCs w:val="24"/>
          <w:shd w:val="clear" w:color="auto" w:fill="FFFFFF"/>
        </w:rPr>
      </w:pPr>
      <w:r w:rsidRPr="00F012ED">
        <w:rPr>
          <w:rFonts w:ascii="Times New Roman" w:hAnsi="Times New Roman" w:cs="Times New Roman"/>
          <w:sz w:val="24"/>
          <w:szCs w:val="24"/>
          <w:shd w:val="clear" w:color="auto" w:fill="FFFFFF"/>
        </w:rPr>
        <w:t>CSIR-Central Drug Research Institute, India</w:t>
      </w:r>
    </w:p>
    <w:p w:rsidR="00AE3E37" w:rsidRPr="002E7108" w:rsidRDefault="00AE3E37">
      <w:pPr>
        <w:rPr>
          <w:rFonts w:ascii="Times New Roman" w:hAnsi="Times New Roman" w:cs="Times New Roman"/>
          <w:sz w:val="21"/>
        </w:rPr>
        <w:sectPr w:rsidR="00AE3E37" w:rsidRPr="002E7108">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Pr="002E7108" w:rsidRDefault="00A9710C">
      <w:pPr>
        <w:pStyle w:val="Heading3"/>
        <w:spacing w:before="147"/>
        <w:jc w:val="both"/>
        <w:rPr>
          <w:rFonts w:ascii="Times New Roman" w:hAnsi="Times New Roman" w:cs="Times New Roman"/>
        </w:rPr>
      </w:pPr>
      <w:r w:rsidRPr="002E7108">
        <w:rPr>
          <w:rFonts w:ascii="Times New Roman" w:hAnsi="Times New Roman" w:cs="Times New Roman"/>
          <w:color w:val="BF5A14"/>
        </w:rPr>
        <w:lastRenderedPageBreak/>
        <w:t>Abstract</w:t>
      </w:r>
    </w:p>
    <w:p w:rsidR="002E7108" w:rsidRPr="003D6DD1" w:rsidRDefault="002E7108" w:rsidP="002E7108">
      <w:pPr>
        <w:spacing w:line="360" w:lineRule="auto"/>
        <w:jc w:val="both"/>
        <w:rPr>
          <w:rFonts w:ascii="Times New Roman" w:hAnsi="Times New Roman" w:cs="Times New Roman"/>
          <w:sz w:val="18"/>
          <w:szCs w:val="18"/>
        </w:rPr>
      </w:pPr>
      <w:r w:rsidRPr="003D6DD1">
        <w:rPr>
          <w:rFonts w:ascii="Times New Roman" w:hAnsi="Times New Roman" w:cs="Times New Roman"/>
          <w:b/>
          <w:sz w:val="18"/>
          <w:szCs w:val="18"/>
        </w:rPr>
        <w:t xml:space="preserve">Statement of the Problem: </w:t>
      </w:r>
      <w:r w:rsidRPr="003D6DD1">
        <w:rPr>
          <w:rFonts w:ascii="Times New Roman" w:hAnsi="Times New Roman" w:cs="Times New Roman"/>
          <w:sz w:val="18"/>
          <w:szCs w:val="18"/>
        </w:rPr>
        <w:t>Bone regeneration is reported to negatively affect by inflammation, a common phase during bone healing. Inflammatory bone loss conditions like periodontitis and inflammatory arthritis, all driven by Lipopolysaccharide (LPS), which has been identified as a key pathogenic agent. Till date, there are limited therapeutic approaches for inflammation triggered osteoblast differentiation inhibition. Chebulinic acid (CA), a</w:t>
      </w:r>
      <w:r w:rsidR="002E1758">
        <w:rPr>
          <w:rFonts w:ascii="Times New Roman" w:hAnsi="Times New Roman" w:cs="Times New Roman"/>
          <w:sz w:val="18"/>
          <w:szCs w:val="18"/>
        </w:rPr>
        <w:t>n</w:t>
      </w:r>
      <w:r w:rsidRPr="003D6DD1">
        <w:rPr>
          <w:rFonts w:ascii="Times New Roman" w:hAnsi="Times New Roman" w:cs="Times New Roman"/>
          <w:sz w:val="18"/>
          <w:szCs w:val="18"/>
        </w:rPr>
        <w:t xml:space="preserve"> ellagitannin derived from Triphala, exhibits anti-inflammatory &amp; anti-oxidant activity. We hypothesized that CA may prevent the inflammatory bone loss induced by LPS. </w:t>
      </w:r>
      <w:r w:rsidRPr="003D6DD1">
        <w:rPr>
          <w:rFonts w:ascii="Times New Roman" w:hAnsi="Times New Roman" w:cs="Times New Roman"/>
          <w:b/>
          <w:sz w:val="18"/>
          <w:szCs w:val="18"/>
        </w:rPr>
        <w:t>Methodology &amp; Theoretical Orientation:</w:t>
      </w:r>
      <w:r w:rsidRPr="003D6DD1">
        <w:rPr>
          <w:rFonts w:ascii="Times New Roman" w:hAnsi="Times New Roman" w:cs="Times New Roman"/>
          <w:i/>
          <w:sz w:val="18"/>
          <w:szCs w:val="18"/>
        </w:rPr>
        <w:t xml:space="preserve"> </w:t>
      </w:r>
      <w:r w:rsidRPr="003D6DD1">
        <w:rPr>
          <w:rFonts w:ascii="Times New Roman" w:hAnsi="Times New Roman" w:cs="Times New Roman"/>
          <w:sz w:val="18"/>
          <w:szCs w:val="18"/>
        </w:rPr>
        <w:t xml:space="preserve">LPS induced bone loss model was established using 10wk old male &amp; female C57BL/6J mice which were divided into Control(PBS), LPS(5mg/kg; IP injection), LPS+CA(5mg/kg; orally) and LPS+CA(10mg/kg) groups. After 7 &amp; 21days, micro-CT analysis and histomorphometric evaluation were conducted. </w:t>
      </w:r>
      <w:r w:rsidRPr="003D6DD1">
        <w:rPr>
          <w:rFonts w:ascii="Times New Roman" w:hAnsi="Times New Roman" w:cs="Times New Roman"/>
          <w:i/>
          <w:sz w:val="18"/>
          <w:szCs w:val="18"/>
        </w:rPr>
        <w:t>In vitro</w:t>
      </w:r>
      <w:r w:rsidRPr="003D6DD1">
        <w:rPr>
          <w:rFonts w:ascii="Times New Roman" w:hAnsi="Times New Roman" w:cs="Times New Roman"/>
          <w:sz w:val="18"/>
          <w:szCs w:val="18"/>
        </w:rPr>
        <w:t xml:space="preserve">, murine osteoblasts were treated with vehicle, LPS and LPS+CA. Cell viability &amp; proliferation, inflammatory </w:t>
      </w:r>
      <w:r w:rsidR="009F32F6" w:rsidRPr="003D6DD1">
        <w:rPr>
          <w:rFonts w:ascii="Times New Roman" w:hAnsi="Times New Roman" w:cs="Times New Roman"/>
          <w:sz w:val="18"/>
          <w:szCs w:val="18"/>
        </w:rPr>
        <w:t>behavior</w:t>
      </w:r>
      <w:r w:rsidRPr="003D6DD1">
        <w:rPr>
          <w:rFonts w:ascii="Times New Roman" w:hAnsi="Times New Roman" w:cs="Times New Roman"/>
          <w:sz w:val="18"/>
          <w:szCs w:val="18"/>
        </w:rPr>
        <w:t xml:space="preserve">, oxidative stress, and NFkB signalling were determined. </w:t>
      </w:r>
      <w:r w:rsidRPr="003D6DD1">
        <w:rPr>
          <w:rFonts w:ascii="Times New Roman" w:hAnsi="Times New Roman" w:cs="Times New Roman"/>
          <w:b/>
          <w:sz w:val="18"/>
          <w:szCs w:val="18"/>
        </w:rPr>
        <w:t>Findings:</w:t>
      </w:r>
      <w:r w:rsidRPr="003D6DD1">
        <w:rPr>
          <w:rFonts w:ascii="Times New Roman" w:hAnsi="Times New Roman" w:cs="Times New Roman"/>
          <w:sz w:val="18"/>
          <w:szCs w:val="18"/>
        </w:rPr>
        <w:t xml:space="preserve"> Our results show that in 7day study, CA ameliorates LPS induced inhibited bone remodelling in both female &amp; male mice with more pronounced results in male mice. In 21day study, CA administration alleviates LPS-induced bone destruction &amp; biochemical changes with marked protective effect by enhancing bone formation </w:t>
      </w:r>
      <w:r w:rsidRPr="003D6DD1">
        <w:rPr>
          <w:rFonts w:ascii="Times New Roman" w:hAnsi="Times New Roman" w:cs="Times New Roman"/>
          <w:i/>
          <w:sz w:val="18"/>
          <w:szCs w:val="18"/>
        </w:rPr>
        <w:t>invivo</w:t>
      </w:r>
      <w:r w:rsidRPr="003D6DD1">
        <w:rPr>
          <w:rFonts w:ascii="Times New Roman" w:hAnsi="Times New Roman" w:cs="Times New Roman"/>
          <w:sz w:val="18"/>
          <w:szCs w:val="18"/>
        </w:rPr>
        <w:t xml:space="preserve">. In osteoblast cells, LPS treatment causes osteoblast &amp; mitochondrial dysfunction by increasing ROS levels with enhanced expression of inflammatory cytokines. Chebulinic acid (CA) improves the inhibitory effect of LPS on osteoblast functions by enhancing cell differentiation and proliferation. Moreover, CA inhibited the oxidative stress &amp; mitochondrial dysfunction stimulated by LPS treatment by blocking increased secretion of inflammatory cytokines. Mechanistically, CA presented remarkable protective effects against LPS treatment by blocking NFkB signalling. </w:t>
      </w:r>
      <w:r w:rsidRPr="003D6DD1">
        <w:rPr>
          <w:rFonts w:ascii="Times New Roman" w:hAnsi="Times New Roman" w:cs="Times New Roman"/>
          <w:b/>
          <w:sz w:val="18"/>
          <w:szCs w:val="18"/>
        </w:rPr>
        <w:t xml:space="preserve">Conclusion &amp; Significance: </w:t>
      </w:r>
      <w:r w:rsidRPr="003D6DD1">
        <w:rPr>
          <w:rFonts w:ascii="Times New Roman" w:hAnsi="Times New Roman" w:cs="Times New Roman"/>
          <w:sz w:val="18"/>
          <w:szCs w:val="18"/>
        </w:rPr>
        <w:t>Taken together, protective role of CA against LPS-induced bone loss &amp; inhibitory effect on total ROS levels hold as a potential novel therapeutic strategy for inflammatory diseases in bones.</w:t>
      </w:r>
    </w:p>
    <w:p w:rsidR="00184CF5" w:rsidRDefault="00184CF5">
      <w:pPr>
        <w:pStyle w:val="Heading3"/>
        <w:spacing w:before="74"/>
        <w:rPr>
          <w:rFonts w:ascii="Times New Roman" w:hAnsi="Times New Roman" w:cs="Times New Roman"/>
          <w:b w:val="0"/>
        </w:rPr>
      </w:pPr>
    </w:p>
    <w:p w:rsidR="00184CF5" w:rsidRDefault="00184CF5">
      <w:pPr>
        <w:pStyle w:val="Heading3"/>
        <w:spacing w:before="74"/>
        <w:rPr>
          <w:rFonts w:ascii="Times New Roman" w:hAnsi="Times New Roman" w:cs="Times New Roman"/>
          <w:b w:val="0"/>
        </w:rPr>
      </w:pPr>
    </w:p>
    <w:p w:rsidR="00AE3E37" w:rsidRPr="002E7108" w:rsidRDefault="00A9710C">
      <w:pPr>
        <w:pStyle w:val="Heading3"/>
        <w:spacing w:before="74"/>
        <w:rPr>
          <w:rFonts w:ascii="Times New Roman" w:hAnsi="Times New Roman" w:cs="Times New Roman"/>
        </w:rPr>
      </w:pPr>
      <w:r w:rsidRPr="002E7108">
        <w:rPr>
          <w:rFonts w:ascii="Times New Roman" w:hAnsi="Times New Roman" w:cs="Times New Roman"/>
          <w:b w:val="0"/>
        </w:rPr>
        <w:br w:type="column"/>
      </w:r>
      <w:r w:rsidRPr="002E7108">
        <w:rPr>
          <w:rFonts w:ascii="Times New Roman" w:hAnsi="Times New Roman" w:cs="Times New Roman"/>
          <w:color w:val="BF5A14"/>
        </w:rPr>
        <w:lastRenderedPageBreak/>
        <w:t>Image</w:t>
      </w:r>
    </w:p>
    <w:p w:rsidR="00AE3E37" w:rsidRPr="002E7108" w:rsidRDefault="00E11BE4">
      <w:pPr>
        <w:pStyle w:val="BodyText"/>
        <w:spacing w:before="2"/>
        <w:rPr>
          <w:rFonts w:ascii="Times New Roman" w:hAnsi="Times New Roman" w:cs="Times New Roman"/>
          <w:b/>
          <w:sz w:val="16"/>
        </w:rPr>
      </w:pPr>
      <w:r>
        <w:rPr>
          <w:rFonts w:ascii="Times New Roman" w:hAnsi="Times New Roman" w:cs="Times New Roman"/>
          <w:noProof/>
          <w:lang w:val="en-IN" w:eastAsia="en-IN"/>
        </w:rPr>
        <w:t xml:space="preserve">       </w:t>
      </w:r>
      <w:r w:rsidR="00423246">
        <w:rPr>
          <w:rFonts w:ascii="Times New Roman" w:hAnsi="Times New Roman" w:cs="Times New Roman"/>
          <w:noProof/>
          <w:lang w:val="en-IN" w:eastAsia="en-IN"/>
        </w:rPr>
        <w:t xml:space="preserve">      </w:t>
      </w:r>
      <w:r w:rsidR="002F224D">
        <w:rPr>
          <w:rFonts w:ascii="Times New Roman" w:hAnsi="Times New Roman" w:cs="Times New Roman"/>
          <w:noProof/>
          <w:lang w:val="en-IN" w:eastAsia="en-IN"/>
        </w:rPr>
        <w:drawing>
          <wp:inline distT="0" distB="0" distL="0" distR="0">
            <wp:extent cx="3452883" cy="2060812"/>
            <wp:effectExtent l="19050" t="19050" r="14605" b="15875"/>
            <wp:docPr id="1" name="Picture 1" descr="H:\conference\Dubai conference\Abst Fig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onference\Dubai conference\Abst Fig Jpe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3025" cy="2060897"/>
                    </a:xfrm>
                    <a:prstGeom prst="rect">
                      <a:avLst/>
                    </a:prstGeom>
                    <a:noFill/>
                    <a:ln>
                      <a:solidFill>
                        <a:schemeClr val="tx1"/>
                      </a:solidFill>
                    </a:ln>
                  </pic:spPr>
                </pic:pic>
              </a:graphicData>
            </a:graphic>
          </wp:inline>
        </w:drawing>
      </w:r>
    </w:p>
    <w:p w:rsidR="005973B9" w:rsidRPr="00423246" w:rsidRDefault="00E11BE4" w:rsidP="005973B9">
      <w:pPr>
        <w:spacing w:line="204" w:lineRule="exact"/>
        <w:rPr>
          <w:rFonts w:ascii="Times New Roman" w:hAnsi="Times New Roman" w:cs="Times New Roman"/>
          <w:b/>
          <w:color w:val="BF5A14"/>
          <w:sz w:val="20"/>
        </w:rPr>
      </w:pPr>
      <w:r>
        <w:rPr>
          <w:rFonts w:ascii="Times New Roman" w:hAnsi="Times New Roman" w:cs="Times New Roman"/>
          <w:b/>
          <w:color w:val="BF5A14"/>
          <w:sz w:val="20"/>
        </w:rPr>
        <w:t xml:space="preserve">  </w:t>
      </w:r>
      <w:r w:rsidR="005973B9" w:rsidRPr="002E7108">
        <w:rPr>
          <w:rFonts w:ascii="Times New Roman" w:hAnsi="Times New Roman" w:cs="Times New Roman"/>
          <w:b/>
          <w:color w:val="BF5A14"/>
          <w:sz w:val="20"/>
        </w:rPr>
        <w:br/>
        <w:t>Recent Publications (minimum 5)</w:t>
      </w:r>
    </w:p>
    <w:p w:rsidR="00543298" w:rsidRPr="00543298" w:rsidRDefault="004910BF" w:rsidP="00543298">
      <w:pPr>
        <w:pStyle w:val="ListParagraph"/>
        <w:widowControl/>
        <w:numPr>
          <w:ilvl w:val="0"/>
          <w:numId w:val="3"/>
        </w:numPr>
        <w:spacing w:before="0" w:after="200" w:line="276" w:lineRule="auto"/>
        <w:contextualSpacing/>
        <w:rPr>
          <w:rStyle w:val="Hyperlink"/>
          <w:rFonts w:ascii="Times New Roman" w:hAnsi="Times New Roman" w:cs="Times New Roman"/>
          <w:color w:val="auto"/>
          <w:sz w:val="18"/>
          <w:szCs w:val="18"/>
          <w:u w:val="none"/>
        </w:rPr>
      </w:pPr>
      <w:r w:rsidRPr="00543298">
        <w:rPr>
          <w:rFonts w:ascii="Times New Roman" w:hAnsi="Times New Roman" w:cs="Times New Roman"/>
          <w:sz w:val="18"/>
          <w:szCs w:val="18"/>
        </w:rPr>
        <w:t xml:space="preserve">Kim HJ, Song HK, Park SH, Jang S, Park KS, Song KH, Lee SK, Kim T. Terminalia </w:t>
      </w:r>
      <w:proofErr w:type="spellStart"/>
      <w:r w:rsidRPr="00543298">
        <w:rPr>
          <w:rFonts w:ascii="Times New Roman" w:hAnsi="Times New Roman" w:cs="Times New Roman"/>
          <w:sz w:val="18"/>
          <w:szCs w:val="18"/>
        </w:rPr>
        <w:t>chebula</w:t>
      </w:r>
      <w:proofErr w:type="spellEnd"/>
      <w:r w:rsidRPr="00543298">
        <w:rPr>
          <w:rFonts w:ascii="Times New Roman" w:hAnsi="Times New Roman" w:cs="Times New Roman"/>
          <w:sz w:val="18"/>
          <w:szCs w:val="18"/>
        </w:rPr>
        <w:t xml:space="preserve"> Retz. </w:t>
      </w:r>
      <w:proofErr w:type="gramStart"/>
      <w:r w:rsidRPr="00543298">
        <w:rPr>
          <w:rFonts w:ascii="Times New Roman" w:hAnsi="Times New Roman" w:cs="Times New Roman"/>
          <w:sz w:val="18"/>
          <w:szCs w:val="18"/>
        </w:rPr>
        <w:t>extract</w:t>
      </w:r>
      <w:proofErr w:type="gramEnd"/>
      <w:r w:rsidRPr="00543298">
        <w:rPr>
          <w:rFonts w:ascii="Times New Roman" w:hAnsi="Times New Roman" w:cs="Times New Roman"/>
          <w:sz w:val="18"/>
          <w:szCs w:val="18"/>
        </w:rPr>
        <w:t xml:space="preserve"> ameliorates the symptoms of atopic dermatitis by regulating anti-inflammatory factors in vivo and suppressing STAT1/3 and NF-</w:t>
      </w:r>
      <w:proofErr w:type="spellStart"/>
      <w:r w:rsidRPr="00543298">
        <w:rPr>
          <w:rFonts w:ascii="Times New Roman" w:hAnsi="Times New Roman" w:cs="Times New Roman"/>
          <w:sz w:val="18"/>
          <w:szCs w:val="18"/>
        </w:rPr>
        <w:t>ĸB</w:t>
      </w:r>
      <w:proofErr w:type="spellEnd"/>
      <w:r w:rsidRPr="00543298">
        <w:rPr>
          <w:rFonts w:ascii="Times New Roman" w:hAnsi="Times New Roman" w:cs="Times New Roman"/>
          <w:sz w:val="18"/>
          <w:szCs w:val="18"/>
        </w:rPr>
        <w:t xml:space="preserve"> signaling in vitro. Phytomedicine. 2022 Sep 1;104:154318.; </w:t>
      </w:r>
      <w:hyperlink r:id="rId11" w:history="1">
        <w:r w:rsidRPr="00543298">
          <w:rPr>
            <w:rStyle w:val="Hyperlink"/>
            <w:rFonts w:ascii="Times New Roman" w:hAnsi="Times New Roman" w:cs="Times New Roman"/>
            <w:sz w:val="18"/>
            <w:szCs w:val="18"/>
          </w:rPr>
          <w:t>https://doi.org/10.1016/j.phymed.2022.154318</w:t>
        </w:r>
      </w:hyperlink>
    </w:p>
    <w:p w:rsidR="004910BF" w:rsidRPr="00543298" w:rsidRDefault="004910BF" w:rsidP="00543298">
      <w:pPr>
        <w:pStyle w:val="ListParagraph"/>
        <w:widowControl/>
        <w:numPr>
          <w:ilvl w:val="0"/>
          <w:numId w:val="3"/>
        </w:numPr>
        <w:spacing w:before="0" w:after="200" w:line="276" w:lineRule="auto"/>
        <w:contextualSpacing/>
        <w:rPr>
          <w:rStyle w:val="Hyperlink"/>
          <w:rFonts w:ascii="Times New Roman" w:hAnsi="Times New Roman" w:cs="Times New Roman"/>
          <w:color w:val="auto"/>
          <w:sz w:val="18"/>
          <w:szCs w:val="18"/>
          <w:u w:val="none"/>
        </w:rPr>
      </w:pPr>
      <w:r w:rsidRPr="00543298">
        <w:rPr>
          <w:rFonts w:ascii="Times New Roman" w:hAnsi="Times New Roman" w:cs="Times New Roman"/>
          <w:sz w:val="18"/>
          <w:szCs w:val="18"/>
        </w:rPr>
        <w:t xml:space="preserve">Zhao Y, </w:t>
      </w:r>
      <w:proofErr w:type="spellStart"/>
      <w:r w:rsidRPr="00543298">
        <w:rPr>
          <w:rFonts w:ascii="Times New Roman" w:hAnsi="Times New Roman" w:cs="Times New Roman"/>
          <w:sz w:val="18"/>
          <w:szCs w:val="18"/>
        </w:rPr>
        <w:t>Gao</w:t>
      </w:r>
      <w:proofErr w:type="spellEnd"/>
      <w:r w:rsidRPr="00543298">
        <w:rPr>
          <w:rFonts w:ascii="Times New Roman" w:hAnsi="Times New Roman" w:cs="Times New Roman"/>
          <w:sz w:val="18"/>
          <w:szCs w:val="18"/>
        </w:rPr>
        <w:t xml:space="preserve"> J, Zhang Y, </w:t>
      </w:r>
      <w:proofErr w:type="spellStart"/>
      <w:r w:rsidRPr="00543298">
        <w:rPr>
          <w:rFonts w:ascii="Times New Roman" w:hAnsi="Times New Roman" w:cs="Times New Roman"/>
          <w:sz w:val="18"/>
          <w:szCs w:val="18"/>
        </w:rPr>
        <w:t>Gan</w:t>
      </w:r>
      <w:proofErr w:type="spellEnd"/>
      <w:r w:rsidRPr="00543298">
        <w:rPr>
          <w:rFonts w:ascii="Times New Roman" w:hAnsi="Times New Roman" w:cs="Times New Roman"/>
          <w:sz w:val="18"/>
          <w:szCs w:val="18"/>
        </w:rPr>
        <w:t xml:space="preserve"> X, Yu H. Cyclosporine a promotes bone remodeling in </w:t>
      </w:r>
      <w:proofErr w:type="spellStart"/>
      <w:r w:rsidRPr="00543298">
        <w:rPr>
          <w:rFonts w:ascii="Times New Roman" w:hAnsi="Times New Roman" w:cs="Times New Roman"/>
          <w:sz w:val="18"/>
          <w:szCs w:val="18"/>
        </w:rPr>
        <w:t>lps</w:t>
      </w:r>
      <w:proofErr w:type="spellEnd"/>
      <w:r w:rsidRPr="00543298">
        <w:rPr>
          <w:rFonts w:ascii="Times New Roman" w:hAnsi="Times New Roman" w:cs="Times New Roman"/>
          <w:sz w:val="18"/>
          <w:szCs w:val="18"/>
        </w:rPr>
        <w:t xml:space="preserve">-related inflammation via inhibiting </w:t>
      </w:r>
      <w:proofErr w:type="spellStart"/>
      <w:r w:rsidRPr="00543298">
        <w:rPr>
          <w:rFonts w:ascii="Times New Roman" w:hAnsi="Times New Roman" w:cs="Times New Roman"/>
          <w:sz w:val="18"/>
          <w:szCs w:val="18"/>
        </w:rPr>
        <w:t>ros</w:t>
      </w:r>
      <w:proofErr w:type="spellEnd"/>
      <w:r w:rsidRPr="00543298">
        <w:rPr>
          <w:rFonts w:ascii="Times New Roman" w:hAnsi="Times New Roman" w:cs="Times New Roman"/>
          <w:sz w:val="18"/>
          <w:szCs w:val="18"/>
        </w:rPr>
        <w:t>/</w:t>
      </w:r>
      <w:proofErr w:type="spellStart"/>
      <w:r w:rsidRPr="00543298">
        <w:rPr>
          <w:rFonts w:ascii="Times New Roman" w:hAnsi="Times New Roman" w:cs="Times New Roman"/>
          <w:sz w:val="18"/>
          <w:szCs w:val="18"/>
        </w:rPr>
        <w:t>erk</w:t>
      </w:r>
      <w:proofErr w:type="spellEnd"/>
      <w:r w:rsidRPr="00543298">
        <w:rPr>
          <w:rFonts w:ascii="Times New Roman" w:hAnsi="Times New Roman" w:cs="Times New Roman"/>
          <w:sz w:val="18"/>
          <w:szCs w:val="18"/>
        </w:rPr>
        <w:t xml:space="preserve"> signaling: studies in vivo and in vitro. Oxidative Medicine and Cellular Longevity. 2021 Jan 7;2021.; </w:t>
      </w:r>
      <w:hyperlink r:id="rId12" w:history="1">
        <w:r w:rsidRPr="00543298">
          <w:rPr>
            <w:rStyle w:val="Hyperlink"/>
            <w:rFonts w:ascii="Times New Roman" w:hAnsi="Times New Roman" w:cs="Times New Roman"/>
            <w:sz w:val="18"/>
            <w:szCs w:val="18"/>
          </w:rPr>
          <w:t>https://doi.org/10.1155/2021/8836599</w:t>
        </w:r>
      </w:hyperlink>
    </w:p>
    <w:p w:rsidR="00543298" w:rsidRPr="00543298" w:rsidRDefault="00543298" w:rsidP="00543298">
      <w:pPr>
        <w:pStyle w:val="ListParagraph"/>
        <w:widowControl/>
        <w:numPr>
          <w:ilvl w:val="0"/>
          <w:numId w:val="3"/>
        </w:numPr>
        <w:spacing w:before="0" w:after="200" w:line="276" w:lineRule="auto"/>
        <w:contextualSpacing/>
        <w:rPr>
          <w:rFonts w:ascii="Times New Roman" w:hAnsi="Times New Roman" w:cs="Times New Roman"/>
          <w:sz w:val="18"/>
          <w:szCs w:val="18"/>
        </w:rPr>
      </w:pPr>
      <w:proofErr w:type="spellStart"/>
      <w:r w:rsidRPr="00543298">
        <w:rPr>
          <w:rFonts w:ascii="Times New Roman" w:hAnsi="Times New Roman" w:cs="Times New Roman"/>
          <w:sz w:val="18"/>
          <w:szCs w:val="18"/>
        </w:rPr>
        <w:t>Sapkota</w:t>
      </w:r>
      <w:proofErr w:type="spellEnd"/>
      <w:r w:rsidRPr="00543298">
        <w:rPr>
          <w:rFonts w:ascii="Times New Roman" w:hAnsi="Times New Roman" w:cs="Times New Roman"/>
          <w:sz w:val="18"/>
          <w:szCs w:val="18"/>
        </w:rPr>
        <w:t xml:space="preserve"> M, </w:t>
      </w:r>
      <w:proofErr w:type="spellStart"/>
      <w:r w:rsidRPr="00543298">
        <w:rPr>
          <w:rFonts w:ascii="Times New Roman" w:hAnsi="Times New Roman" w:cs="Times New Roman"/>
          <w:sz w:val="18"/>
          <w:szCs w:val="18"/>
        </w:rPr>
        <w:t>Gao</w:t>
      </w:r>
      <w:proofErr w:type="spellEnd"/>
      <w:r w:rsidRPr="00543298">
        <w:rPr>
          <w:rFonts w:ascii="Times New Roman" w:hAnsi="Times New Roman" w:cs="Times New Roman"/>
          <w:sz w:val="18"/>
          <w:szCs w:val="18"/>
        </w:rPr>
        <w:t xml:space="preserve"> M, Li L, Yang M, </w:t>
      </w:r>
      <w:proofErr w:type="spellStart"/>
      <w:r w:rsidRPr="00543298">
        <w:rPr>
          <w:rFonts w:ascii="Times New Roman" w:hAnsi="Times New Roman" w:cs="Times New Roman"/>
          <w:sz w:val="18"/>
          <w:szCs w:val="18"/>
        </w:rPr>
        <w:t>Shrestha</w:t>
      </w:r>
      <w:proofErr w:type="spellEnd"/>
      <w:r w:rsidRPr="00543298">
        <w:rPr>
          <w:rFonts w:ascii="Times New Roman" w:hAnsi="Times New Roman" w:cs="Times New Roman"/>
          <w:sz w:val="18"/>
          <w:szCs w:val="18"/>
        </w:rPr>
        <w:t xml:space="preserve"> SK, Choi H, </w:t>
      </w:r>
      <w:proofErr w:type="spellStart"/>
      <w:r w:rsidRPr="00543298">
        <w:rPr>
          <w:rFonts w:ascii="Times New Roman" w:hAnsi="Times New Roman" w:cs="Times New Roman"/>
          <w:sz w:val="18"/>
          <w:szCs w:val="18"/>
        </w:rPr>
        <w:t>Soh</w:t>
      </w:r>
      <w:proofErr w:type="spellEnd"/>
      <w:r w:rsidRPr="00543298">
        <w:rPr>
          <w:rFonts w:ascii="Times New Roman" w:hAnsi="Times New Roman" w:cs="Times New Roman"/>
          <w:sz w:val="18"/>
          <w:szCs w:val="18"/>
        </w:rPr>
        <w:t xml:space="preserve"> Y. </w:t>
      </w:r>
      <w:proofErr w:type="spellStart"/>
      <w:r w:rsidRPr="00543298">
        <w:rPr>
          <w:rFonts w:ascii="Times New Roman" w:hAnsi="Times New Roman" w:cs="Times New Roman"/>
          <w:sz w:val="18"/>
          <w:szCs w:val="18"/>
        </w:rPr>
        <w:t>Macrolactin</w:t>
      </w:r>
      <w:proofErr w:type="spellEnd"/>
      <w:r w:rsidRPr="00543298">
        <w:rPr>
          <w:rFonts w:ascii="Times New Roman" w:hAnsi="Times New Roman" w:cs="Times New Roman"/>
          <w:sz w:val="18"/>
          <w:szCs w:val="18"/>
        </w:rPr>
        <w:t xml:space="preserve"> A protects against LPS-induced bone loss by regulation of bone remodeling. European journal of pharmacology. 2020 Sep 15;883:173305.; </w:t>
      </w:r>
      <w:hyperlink r:id="rId13" w:history="1">
        <w:r w:rsidRPr="00543298">
          <w:rPr>
            <w:rStyle w:val="Hyperlink"/>
            <w:rFonts w:ascii="Times New Roman" w:hAnsi="Times New Roman" w:cs="Times New Roman"/>
            <w:sz w:val="18"/>
            <w:szCs w:val="18"/>
          </w:rPr>
          <w:t>https://doi.org/10.1016/j.ejphar.2020.173305</w:t>
        </w:r>
      </w:hyperlink>
    </w:p>
    <w:p w:rsidR="00543298" w:rsidRPr="00543298" w:rsidRDefault="00543298" w:rsidP="00543298">
      <w:pPr>
        <w:pStyle w:val="ListParagraph"/>
        <w:widowControl/>
        <w:spacing w:before="0" w:after="200" w:line="276" w:lineRule="auto"/>
        <w:ind w:firstLine="0"/>
        <w:contextualSpacing/>
        <w:rPr>
          <w:rStyle w:val="Hyperlink"/>
          <w:rFonts w:ascii="Times New Roman" w:hAnsi="Times New Roman" w:cs="Times New Roman"/>
          <w:sz w:val="18"/>
          <w:szCs w:val="18"/>
        </w:rPr>
      </w:pPr>
    </w:p>
    <w:p w:rsidR="00C42131" w:rsidRPr="00543298" w:rsidRDefault="004910BF" w:rsidP="00543298">
      <w:pPr>
        <w:pStyle w:val="ListParagraph"/>
        <w:widowControl/>
        <w:numPr>
          <w:ilvl w:val="0"/>
          <w:numId w:val="3"/>
        </w:numPr>
        <w:spacing w:before="0" w:after="200" w:line="276" w:lineRule="auto"/>
        <w:contextualSpacing/>
        <w:rPr>
          <w:rStyle w:val="Hyperlink"/>
          <w:rFonts w:ascii="Times New Roman" w:hAnsi="Times New Roman" w:cs="Times New Roman"/>
          <w:color w:val="auto"/>
          <w:sz w:val="18"/>
          <w:szCs w:val="18"/>
          <w:u w:val="none"/>
        </w:rPr>
      </w:pPr>
      <w:r w:rsidRPr="00543298">
        <w:rPr>
          <w:rFonts w:ascii="Times New Roman" w:hAnsi="Times New Roman" w:cs="Times New Roman"/>
          <w:sz w:val="18"/>
          <w:szCs w:val="18"/>
        </w:rPr>
        <w:t xml:space="preserve">Park HJ, </w:t>
      </w:r>
      <w:proofErr w:type="spellStart"/>
      <w:r w:rsidRPr="00543298">
        <w:rPr>
          <w:rFonts w:ascii="Times New Roman" w:hAnsi="Times New Roman" w:cs="Times New Roman"/>
          <w:sz w:val="18"/>
          <w:szCs w:val="18"/>
        </w:rPr>
        <w:t>Gholam</w:t>
      </w:r>
      <w:proofErr w:type="spellEnd"/>
      <w:r w:rsidRPr="00543298">
        <w:rPr>
          <w:rFonts w:ascii="Times New Roman" w:hAnsi="Times New Roman" w:cs="Times New Roman"/>
          <w:sz w:val="18"/>
          <w:szCs w:val="18"/>
        </w:rPr>
        <w:t xml:space="preserve"> </w:t>
      </w:r>
      <w:proofErr w:type="spellStart"/>
      <w:r w:rsidRPr="00543298">
        <w:rPr>
          <w:rFonts w:ascii="Times New Roman" w:hAnsi="Times New Roman" w:cs="Times New Roman"/>
          <w:sz w:val="18"/>
          <w:szCs w:val="18"/>
        </w:rPr>
        <w:t>Zadeh</w:t>
      </w:r>
      <w:proofErr w:type="spellEnd"/>
      <w:r w:rsidRPr="00543298">
        <w:rPr>
          <w:rFonts w:ascii="Times New Roman" w:hAnsi="Times New Roman" w:cs="Times New Roman"/>
          <w:sz w:val="18"/>
          <w:szCs w:val="18"/>
        </w:rPr>
        <w:t xml:space="preserve"> M, </w:t>
      </w:r>
      <w:proofErr w:type="spellStart"/>
      <w:r w:rsidRPr="00543298">
        <w:rPr>
          <w:rFonts w:ascii="Times New Roman" w:hAnsi="Times New Roman" w:cs="Times New Roman"/>
          <w:sz w:val="18"/>
          <w:szCs w:val="18"/>
        </w:rPr>
        <w:t>Suh</w:t>
      </w:r>
      <w:proofErr w:type="spellEnd"/>
      <w:r w:rsidRPr="00543298">
        <w:rPr>
          <w:rFonts w:ascii="Times New Roman" w:hAnsi="Times New Roman" w:cs="Times New Roman"/>
          <w:sz w:val="18"/>
          <w:szCs w:val="18"/>
        </w:rPr>
        <w:t xml:space="preserve"> JH, Choi HS. </w:t>
      </w:r>
      <w:proofErr w:type="spellStart"/>
      <w:r w:rsidRPr="00543298">
        <w:rPr>
          <w:rFonts w:ascii="Times New Roman" w:hAnsi="Times New Roman" w:cs="Times New Roman"/>
          <w:sz w:val="18"/>
          <w:szCs w:val="18"/>
        </w:rPr>
        <w:t>Dauricine</w:t>
      </w:r>
      <w:proofErr w:type="spellEnd"/>
      <w:r w:rsidRPr="00543298">
        <w:rPr>
          <w:rFonts w:ascii="Times New Roman" w:hAnsi="Times New Roman" w:cs="Times New Roman"/>
          <w:sz w:val="18"/>
          <w:szCs w:val="18"/>
        </w:rPr>
        <w:t xml:space="preserve"> protects from LPS-induced bone loss via the ROS/PP2A/NF-κB axis in osteoclasts. Antioxidants. 2020 Jul 6;9(7):588.; </w:t>
      </w:r>
      <w:hyperlink r:id="rId14" w:history="1">
        <w:r w:rsidRPr="00543298">
          <w:rPr>
            <w:rStyle w:val="Hyperlink"/>
            <w:rFonts w:ascii="Times New Roman" w:hAnsi="Times New Roman" w:cs="Times New Roman"/>
            <w:sz w:val="18"/>
            <w:szCs w:val="18"/>
          </w:rPr>
          <w:t>https://doi.org/10.3390/antiox9070588</w:t>
        </w:r>
      </w:hyperlink>
    </w:p>
    <w:p w:rsidR="00AE3E37" w:rsidRPr="00543298" w:rsidRDefault="00C42131" w:rsidP="00543298">
      <w:pPr>
        <w:pStyle w:val="ListParagraph"/>
        <w:widowControl/>
        <w:numPr>
          <w:ilvl w:val="0"/>
          <w:numId w:val="3"/>
        </w:numPr>
        <w:spacing w:before="0" w:after="200" w:line="276" w:lineRule="auto"/>
        <w:contextualSpacing/>
        <w:rPr>
          <w:rFonts w:ascii="Times New Roman" w:hAnsi="Times New Roman" w:cs="Times New Roman"/>
          <w:sz w:val="18"/>
          <w:szCs w:val="18"/>
        </w:rPr>
      </w:pPr>
      <w:r w:rsidRPr="00543298">
        <w:rPr>
          <w:rFonts w:ascii="Times New Roman" w:hAnsi="Times New Roman" w:cs="Times New Roman"/>
          <w:sz w:val="18"/>
          <w:szCs w:val="18"/>
        </w:rPr>
        <w:t xml:space="preserve">He YQ, Yang H, </w:t>
      </w:r>
      <w:proofErr w:type="spellStart"/>
      <w:r w:rsidRPr="00543298">
        <w:rPr>
          <w:rFonts w:ascii="Times New Roman" w:hAnsi="Times New Roman" w:cs="Times New Roman"/>
          <w:sz w:val="18"/>
          <w:szCs w:val="18"/>
        </w:rPr>
        <w:t>Shen</w:t>
      </w:r>
      <w:proofErr w:type="spellEnd"/>
      <w:r w:rsidRPr="00543298">
        <w:rPr>
          <w:rFonts w:ascii="Times New Roman" w:hAnsi="Times New Roman" w:cs="Times New Roman"/>
          <w:sz w:val="18"/>
          <w:szCs w:val="18"/>
        </w:rPr>
        <w:t xml:space="preserve"> Y, Zhang JH, Zhang ZG, Liu LL, Song HT, Lin B, Hsu HY, Qin LP, </w:t>
      </w:r>
      <w:proofErr w:type="gramStart"/>
      <w:r w:rsidRPr="00543298">
        <w:rPr>
          <w:rFonts w:ascii="Times New Roman" w:hAnsi="Times New Roman" w:cs="Times New Roman"/>
          <w:sz w:val="18"/>
          <w:szCs w:val="18"/>
        </w:rPr>
        <w:t>Han</w:t>
      </w:r>
      <w:proofErr w:type="gramEnd"/>
      <w:r w:rsidRPr="00543298">
        <w:rPr>
          <w:rFonts w:ascii="Times New Roman" w:hAnsi="Times New Roman" w:cs="Times New Roman"/>
          <w:sz w:val="18"/>
          <w:szCs w:val="18"/>
        </w:rPr>
        <w:t xml:space="preserve"> T. </w:t>
      </w:r>
      <w:proofErr w:type="spellStart"/>
      <w:r w:rsidRPr="00543298">
        <w:rPr>
          <w:rFonts w:ascii="Times New Roman" w:hAnsi="Times New Roman" w:cs="Times New Roman"/>
          <w:sz w:val="18"/>
          <w:szCs w:val="18"/>
        </w:rPr>
        <w:t>Monotropein</w:t>
      </w:r>
      <w:proofErr w:type="spellEnd"/>
      <w:r w:rsidRPr="00543298">
        <w:rPr>
          <w:rFonts w:ascii="Times New Roman" w:hAnsi="Times New Roman" w:cs="Times New Roman"/>
          <w:sz w:val="18"/>
          <w:szCs w:val="18"/>
        </w:rPr>
        <w:t xml:space="preserve"> attenuates ovariectomy and LPS-induced bone loss in mice and decreases inflammatory impairment on osteoblast through blocking activation of NF-κB pathway. </w:t>
      </w:r>
      <w:proofErr w:type="spellStart"/>
      <w:r w:rsidRPr="00543298">
        <w:rPr>
          <w:rFonts w:ascii="Times New Roman" w:hAnsi="Times New Roman" w:cs="Times New Roman"/>
          <w:sz w:val="18"/>
          <w:szCs w:val="18"/>
        </w:rPr>
        <w:t>Chemico</w:t>
      </w:r>
      <w:proofErr w:type="spellEnd"/>
      <w:r w:rsidRPr="00543298">
        <w:rPr>
          <w:rFonts w:ascii="Times New Roman" w:hAnsi="Times New Roman" w:cs="Times New Roman"/>
          <w:sz w:val="18"/>
          <w:szCs w:val="18"/>
        </w:rPr>
        <w:t xml:space="preserve">-biological interactions. 2018 Aug 1;291:128-36; </w:t>
      </w:r>
      <w:hyperlink r:id="rId15" w:history="1">
        <w:r w:rsidRPr="00543298">
          <w:rPr>
            <w:rStyle w:val="Hyperlink"/>
            <w:rFonts w:ascii="Times New Roman" w:hAnsi="Times New Roman" w:cs="Times New Roman"/>
            <w:sz w:val="18"/>
            <w:szCs w:val="18"/>
          </w:rPr>
          <w:t>https://doi.org/10.1016/j.cbi.2018.06.015</w:t>
        </w:r>
      </w:hyperlink>
      <w:r w:rsidRPr="00543298">
        <w:rPr>
          <w:rFonts w:ascii="Times New Roman" w:hAnsi="Times New Roman" w:cs="Times New Roman"/>
          <w:sz w:val="18"/>
          <w:szCs w:val="18"/>
        </w:rPr>
        <w:t xml:space="preserve"> </w:t>
      </w:r>
    </w:p>
    <w:p w:rsidR="00AE3E37" w:rsidRPr="002E7108" w:rsidRDefault="00A5471C">
      <w:pPr>
        <w:spacing w:line="200" w:lineRule="exact"/>
        <w:jc w:val="both"/>
        <w:rPr>
          <w:rFonts w:ascii="Times New Roman" w:hAnsi="Times New Roman" w:cs="Times New Roman"/>
        </w:rPr>
        <w:sectPr w:rsidR="00AE3E37" w:rsidRPr="002E7108">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rPr>
        <w:t xml:space="preserve">  </w:t>
      </w:r>
    </w:p>
    <w:p w:rsidR="002E7108" w:rsidRPr="002E7108" w:rsidRDefault="002E7108">
      <w:pPr>
        <w:pStyle w:val="BodyText"/>
        <w:rPr>
          <w:rFonts w:ascii="Times New Roman" w:hAnsi="Times New Roman" w:cs="Times New Roman"/>
          <w:sz w:val="20"/>
        </w:rPr>
      </w:pPr>
    </w:p>
    <w:p w:rsidR="00AE3E37" w:rsidRPr="002E7108" w:rsidRDefault="00D62425">
      <w:pPr>
        <w:pStyle w:val="BodyText"/>
        <w:rPr>
          <w:rFonts w:ascii="Times New Roman" w:hAnsi="Times New Roman" w:cs="Times New Roman"/>
          <w:b/>
          <w:sz w:val="20"/>
        </w:rPr>
      </w:pPr>
      <w:r w:rsidRPr="002E7108">
        <w:rPr>
          <w:rFonts w:ascii="Times New Roman" w:hAnsi="Times New Roman" w:cs="Times New Roman"/>
          <w:sz w:val="20"/>
        </w:rPr>
        <w:lastRenderedPageBreak/>
        <w:t xml:space="preserve">   </w:t>
      </w:r>
      <w:r w:rsidRPr="002E7108">
        <w:rPr>
          <w:rFonts w:ascii="Times New Roman" w:hAnsi="Times New Roman" w:cs="Times New Roman"/>
          <w:b/>
          <w:sz w:val="20"/>
        </w:rPr>
        <w:t>Photograph</w:t>
      </w:r>
    </w:p>
    <w:p w:rsidR="00AE3E37" w:rsidRPr="002E7108" w:rsidRDefault="00292ED9">
      <w:pPr>
        <w:pStyle w:val="BodyText"/>
        <w:spacing w:line="40" w:lineRule="exact"/>
        <w:ind w:left="2202"/>
        <w:rPr>
          <w:rFonts w:ascii="Times New Roman" w:hAnsi="Times New Roman" w:cs="Times New Roman"/>
          <w:sz w:val="4"/>
        </w:rPr>
      </w:pPr>
      <w:r w:rsidRPr="002E7108">
        <w:rPr>
          <w:rFonts w:ascii="Times New Roman" w:hAnsi="Times New Roman" w:cs="Times New Roman"/>
          <w:noProof/>
          <w:sz w:val="4"/>
          <w:lang w:val="en-IN" w:eastAsia="en-IN"/>
        </w:rPr>
        <mc:AlternateContent>
          <mc:Choice Requires="wpg">
            <w:drawing>
              <wp:inline distT="0" distB="0" distL="0" distR="0" wp14:anchorId="5EEC92E0" wp14:editId="34CB89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3F462A" w:rsidRDefault="008756E6" w:rsidP="00404E5B">
      <w:pPr>
        <w:spacing w:before="92"/>
        <w:ind w:right="4234"/>
        <w:rPr>
          <w:rFonts w:ascii="Times New Roman" w:hAnsi="Times New Roman" w:cs="Times New Roman"/>
          <w:noProof/>
        </w:rPr>
      </w:pPr>
      <w:r w:rsidRPr="002E7108">
        <w:rPr>
          <w:rFonts w:ascii="Times New Roman" w:hAnsi="Times New Roman" w:cs="Times New Roman"/>
          <w:noProof/>
        </w:rPr>
        <w:t xml:space="preserve">              </w:t>
      </w:r>
      <w:r w:rsidR="000C221E">
        <w:rPr>
          <w:rFonts w:ascii="Times New Roman" w:hAnsi="Times New Roman" w:cs="Times New Roman"/>
          <w:noProof/>
          <w:lang w:val="en-IN" w:eastAsia="en-IN"/>
        </w:rPr>
        <w:drawing>
          <wp:inline distT="0" distB="0" distL="0" distR="0">
            <wp:extent cx="1026581" cy="1412543"/>
            <wp:effectExtent l="0" t="0" r="2540" b="0"/>
            <wp:docPr id="4" name="Picture 4" descr="H:\conference\Dubai conference\2019-11-18-17-20-13-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conference\Dubai conference\2019-11-18-17-20-13-039.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030049" cy="1417315"/>
                    </a:xfrm>
                    <a:prstGeom prst="rect">
                      <a:avLst/>
                    </a:prstGeom>
                    <a:noFill/>
                    <a:ln>
                      <a:noFill/>
                    </a:ln>
                  </pic:spPr>
                </pic:pic>
              </a:graphicData>
            </a:graphic>
          </wp:inline>
        </w:drawing>
      </w:r>
    </w:p>
    <w:p w:rsidR="00AE3E37" w:rsidRPr="002E7108" w:rsidRDefault="003F462A" w:rsidP="00404E5B">
      <w:pPr>
        <w:spacing w:before="92"/>
        <w:ind w:right="4234"/>
        <w:rPr>
          <w:rFonts w:ascii="Times New Roman" w:hAnsi="Times New Roman" w:cs="Times New Roman"/>
        </w:rPr>
      </w:pPr>
      <w:r>
        <w:rPr>
          <w:rFonts w:ascii="Times New Roman" w:hAnsi="Times New Roman" w:cs="Times New Roman"/>
          <w:noProof/>
        </w:rPr>
        <w:t xml:space="preserve">    </w:t>
      </w:r>
      <w:r w:rsidR="00A9710C" w:rsidRPr="002E7108">
        <w:rPr>
          <w:rFonts w:ascii="Times New Roman" w:hAnsi="Times New Roman" w:cs="Times New Roman"/>
          <w:color w:val="BF5A14"/>
        </w:rPr>
        <w:t>Biography</w:t>
      </w:r>
    </w:p>
    <w:p w:rsidR="00B45665" w:rsidRPr="002E1758" w:rsidRDefault="00B45665" w:rsidP="002E1758">
      <w:pPr>
        <w:spacing w:before="41" w:line="276" w:lineRule="auto"/>
        <w:ind w:left="213" w:right="231"/>
        <w:jc w:val="both"/>
        <w:rPr>
          <w:rFonts w:ascii="Times New Roman" w:hAnsi="Times New Roman" w:cs="Times New Roman"/>
          <w:sz w:val="18"/>
          <w:szCs w:val="18"/>
        </w:rPr>
      </w:pPr>
      <w:r w:rsidRPr="002E1758">
        <w:rPr>
          <w:rFonts w:ascii="Times New Roman" w:hAnsi="Times New Roman" w:cs="Times New Roman"/>
          <w:sz w:val="18"/>
          <w:szCs w:val="18"/>
        </w:rPr>
        <w:t xml:space="preserve">Ms. Kriti pursuing her research as </w:t>
      </w:r>
      <w:r w:rsidRPr="002E1758">
        <w:rPr>
          <w:rFonts w:ascii="Times New Roman" w:hAnsi="Times New Roman" w:cs="Times New Roman"/>
          <w:b/>
          <w:sz w:val="18"/>
          <w:szCs w:val="18"/>
        </w:rPr>
        <w:t>Senior research fellow</w:t>
      </w:r>
      <w:r w:rsidRPr="002E1758">
        <w:rPr>
          <w:rFonts w:ascii="Times New Roman" w:hAnsi="Times New Roman" w:cs="Times New Roman"/>
          <w:sz w:val="18"/>
          <w:szCs w:val="18"/>
        </w:rPr>
        <w:t xml:space="preserve"> in Endocrinology Division of CSIR- Central Drug research Institute, Lucknow. She is double </w:t>
      </w:r>
      <w:r w:rsidRPr="002E1758">
        <w:rPr>
          <w:rFonts w:ascii="Times New Roman" w:hAnsi="Times New Roman" w:cs="Times New Roman"/>
          <w:b/>
          <w:sz w:val="18"/>
          <w:szCs w:val="18"/>
        </w:rPr>
        <w:t>Gold-medalist</w:t>
      </w:r>
      <w:r w:rsidR="006B72F3">
        <w:rPr>
          <w:rFonts w:ascii="Times New Roman" w:hAnsi="Times New Roman" w:cs="Times New Roman"/>
          <w:sz w:val="18"/>
          <w:szCs w:val="18"/>
        </w:rPr>
        <w:t xml:space="preserve"> in her Bachelors &amp; M</w:t>
      </w:r>
      <w:r w:rsidRPr="002E1758">
        <w:rPr>
          <w:rFonts w:ascii="Times New Roman" w:hAnsi="Times New Roman" w:cs="Times New Roman"/>
          <w:sz w:val="18"/>
          <w:szCs w:val="18"/>
        </w:rPr>
        <w:t xml:space="preserve">asters. She has her expertise in identifying novel agents using monotherapy and combination therapy approaches for estrogen </w:t>
      </w:r>
      <w:r w:rsidR="006B72F3">
        <w:rPr>
          <w:rFonts w:ascii="Times New Roman" w:hAnsi="Times New Roman" w:cs="Times New Roman"/>
          <w:sz w:val="18"/>
          <w:szCs w:val="18"/>
        </w:rPr>
        <w:t xml:space="preserve">deficiency </w:t>
      </w:r>
      <w:r w:rsidRPr="002E1758">
        <w:rPr>
          <w:rFonts w:ascii="Times New Roman" w:hAnsi="Times New Roman" w:cs="Times New Roman"/>
          <w:sz w:val="18"/>
          <w:szCs w:val="18"/>
        </w:rPr>
        <w:t xml:space="preserve">induced bone loss &amp; LPS- induced bone loss. She is being recipient of many fellowships and awards including </w:t>
      </w:r>
      <w:r w:rsidRPr="002E1758">
        <w:rPr>
          <w:rFonts w:ascii="Times New Roman" w:hAnsi="Times New Roman" w:cs="Times New Roman"/>
          <w:b/>
          <w:sz w:val="18"/>
          <w:szCs w:val="18"/>
        </w:rPr>
        <w:t>DST-Inspire Fellowship program</w:t>
      </w:r>
      <w:r w:rsidRPr="002E1758">
        <w:rPr>
          <w:rFonts w:ascii="Times New Roman" w:hAnsi="Times New Roman" w:cs="Times New Roman"/>
          <w:sz w:val="18"/>
          <w:szCs w:val="18"/>
        </w:rPr>
        <w:t xml:space="preserve"> since 2018 for pursuing her research under Govt. funded labs, </w:t>
      </w:r>
      <w:r w:rsidRPr="002E1758">
        <w:rPr>
          <w:rFonts w:ascii="Times New Roman" w:hAnsi="Times New Roman" w:cs="Times New Roman"/>
          <w:b/>
          <w:sz w:val="18"/>
          <w:szCs w:val="18"/>
        </w:rPr>
        <w:t xml:space="preserve">Young Investigator Award at </w:t>
      </w:r>
      <w:r w:rsidRPr="002E1758">
        <w:rPr>
          <w:rFonts w:ascii="Times New Roman" w:hAnsi="Times New Roman" w:cs="Times New Roman"/>
          <w:i/>
          <w:sz w:val="18"/>
          <w:szCs w:val="18"/>
        </w:rPr>
        <w:t>IOF Regional Asia Pacific Osteoporosis Conference 2021 (IOF-2021),</w:t>
      </w:r>
      <w:r w:rsidRPr="002E1758">
        <w:rPr>
          <w:rFonts w:ascii="Times New Roman" w:hAnsi="Times New Roman" w:cs="Times New Roman"/>
          <w:sz w:val="18"/>
          <w:szCs w:val="18"/>
        </w:rPr>
        <w:t xml:space="preserve">Thailand, </w:t>
      </w:r>
      <w:r w:rsidRPr="002E1758">
        <w:rPr>
          <w:rFonts w:ascii="Times New Roman" w:hAnsi="Times New Roman" w:cs="Times New Roman"/>
          <w:b/>
          <w:sz w:val="18"/>
          <w:szCs w:val="18"/>
        </w:rPr>
        <w:t>Best Poster Award’</w:t>
      </w:r>
      <w:r w:rsidRPr="002E1758">
        <w:rPr>
          <w:rFonts w:ascii="Times New Roman" w:hAnsi="Times New Roman" w:cs="Times New Roman"/>
          <w:sz w:val="18"/>
          <w:szCs w:val="18"/>
        </w:rPr>
        <w:t xml:space="preserve"> in </w:t>
      </w:r>
      <w:r w:rsidRPr="002E1758">
        <w:rPr>
          <w:rFonts w:ascii="Times New Roman" w:hAnsi="Times New Roman" w:cs="Times New Roman"/>
          <w:i/>
          <w:sz w:val="18"/>
          <w:szCs w:val="18"/>
        </w:rPr>
        <w:t>International 8th annual Conference of International chemical Biology Society (ICBS-2019)</w:t>
      </w:r>
      <w:r w:rsidRPr="002E1758">
        <w:rPr>
          <w:rFonts w:ascii="Times New Roman" w:hAnsi="Times New Roman" w:cs="Times New Roman"/>
          <w:sz w:val="18"/>
          <w:szCs w:val="18"/>
        </w:rPr>
        <w:t xml:space="preserve">, India. She has got several publications in peer-reviewed journals from her work pertaining to bone health. </w:t>
      </w:r>
      <w:r w:rsidR="006B72F3">
        <w:rPr>
          <w:rFonts w:ascii="Times New Roman" w:hAnsi="Times New Roman" w:cs="Times New Roman"/>
          <w:sz w:val="18"/>
          <w:szCs w:val="18"/>
        </w:rPr>
        <w:t xml:space="preserve">She has established various </w:t>
      </w:r>
      <w:r w:rsidR="006B72F3" w:rsidRPr="006B72F3">
        <w:rPr>
          <w:rFonts w:ascii="Times New Roman" w:hAnsi="Times New Roman" w:cs="Times New Roman"/>
          <w:i/>
          <w:sz w:val="18"/>
          <w:szCs w:val="18"/>
        </w:rPr>
        <w:t>invivo</w:t>
      </w:r>
      <w:r w:rsidR="006B72F3">
        <w:rPr>
          <w:rFonts w:ascii="Times New Roman" w:hAnsi="Times New Roman" w:cs="Times New Roman"/>
          <w:sz w:val="18"/>
          <w:szCs w:val="18"/>
        </w:rPr>
        <w:t xml:space="preserve"> models for ovariectomy induced bone loss, LPS induced bone loss, Dexamethasone induced bone loss in mice &amp; rats; critical size defect surgery in Rabbit during her research tenure. </w:t>
      </w:r>
    </w:p>
    <w:p w:rsidR="00184CF5" w:rsidRPr="003F462A" w:rsidRDefault="00184CF5" w:rsidP="00184CF5">
      <w:pPr>
        <w:spacing w:before="62"/>
        <w:ind w:left="4217" w:right="4235"/>
        <w:jc w:val="center"/>
        <w:rPr>
          <w:rFonts w:ascii="Times New Roman" w:hAnsi="Times New Roman" w:cs="Times New Roman"/>
          <w:sz w:val="20"/>
          <w:szCs w:val="20"/>
        </w:rPr>
      </w:pPr>
      <w:r w:rsidRPr="003F462A">
        <w:rPr>
          <w:rFonts w:ascii="Times New Roman" w:hAnsi="Times New Roman" w:cs="Times New Roman"/>
          <w:sz w:val="20"/>
          <w:szCs w:val="20"/>
        </w:rPr>
        <w:t xml:space="preserve">Email: </w:t>
      </w:r>
      <w:hyperlink r:id="rId18" w:history="1">
        <w:r w:rsidR="000D5E00" w:rsidRPr="003F462A">
          <w:rPr>
            <w:rStyle w:val="Hyperlink"/>
            <w:rFonts w:ascii="Times New Roman" w:hAnsi="Times New Roman" w:cs="Times New Roman"/>
            <w:sz w:val="20"/>
            <w:szCs w:val="20"/>
          </w:rPr>
          <w:t>kriti41@gmail.com</w:t>
        </w:r>
      </w:hyperlink>
      <w:r w:rsidR="000D5E00" w:rsidRPr="003F462A">
        <w:rPr>
          <w:rFonts w:ascii="Times New Roman" w:hAnsi="Times New Roman" w:cs="Times New Roman"/>
          <w:sz w:val="20"/>
          <w:szCs w:val="20"/>
        </w:rPr>
        <w:t xml:space="preserve"> </w:t>
      </w:r>
    </w:p>
    <w:p w:rsidR="00AE3E37" w:rsidRPr="002E7108" w:rsidRDefault="00AE3E37">
      <w:pPr>
        <w:spacing w:before="62"/>
        <w:ind w:left="4217" w:right="4235"/>
        <w:jc w:val="center"/>
        <w:rPr>
          <w:rFonts w:ascii="Times New Roman" w:hAnsi="Times New Roman" w:cs="Times New Roman"/>
          <w:sz w:val="14"/>
        </w:rPr>
      </w:pPr>
    </w:p>
    <w:p w:rsidR="00AE3E37" w:rsidRPr="002E7108" w:rsidRDefault="00292ED9">
      <w:pPr>
        <w:pStyle w:val="BodyText"/>
        <w:spacing w:before="2"/>
        <w:rPr>
          <w:rFonts w:ascii="Times New Roman" w:hAnsi="Times New Roman" w:cs="Times New Roman"/>
          <w:sz w:val="19"/>
        </w:rPr>
      </w:pPr>
      <w:r w:rsidRPr="002E7108">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1054F5B7" wp14:editId="266333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E7108" w:rsidRDefault="00AE3E37">
      <w:pPr>
        <w:pStyle w:val="BodyText"/>
        <w:rPr>
          <w:rFonts w:ascii="Times New Roman" w:hAnsi="Times New Roman" w:cs="Times New Roman"/>
          <w:sz w:val="20"/>
        </w:rPr>
      </w:pPr>
    </w:p>
    <w:p w:rsidR="00AE3E37" w:rsidRPr="002E7108" w:rsidRDefault="00AE3E37">
      <w:pPr>
        <w:pStyle w:val="BodyText"/>
        <w:rPr>
          <w:rFonts w:ascii="Times New Roman" w:hAnsi="Times New Roman" w:cs="Times New Roman"/>
          <w:sz w:val="20"/>
        </w:rPr>
      </w:pPr>
    </w:p>
    <w:p w:rsidR="00AE3E37" w:rsidRPr="002E7108" w:rsidRDefault="00AE3E37">
      <w:pPr>
        <w:pStyle w:val="BodyText"/>
        <w:spacing w:before="7"/>
        <w:rPr>
          <w:rFonts w:ascii="Times New Roman" w:hAnsi="Times New Roman" w:cs="Times New Roman"/>
          <w:sz w:val="29"/>
        </w:rPr>
      </w:pPr>
    </w:p>
    <w:p w:rsidR="00AE3E37" w:rsidRPr="002E7108" w:rsidRDefault="00A9710C">
      <w:pPr>
        <w:spacing w:before="39"/>
        <w:ind w:left="100"/>
        <w:rPr>
          <w:rFonts w:ascii="Times New Roman" w:hAnsi="Times New Roman" w:cs="Times New Roman"/>
          <w:b/>
          <w:sz w:val="20"/>
        </w:rPr>
      </w:pPr>
      <w:r w:rsidRPr="002E7108">
        <w:rPr>
          <w:rFonts w:ascii="Times New Roman" w:hAnsi="Times New Roman" w:cs="Times New Roman"/>
          <w:b/>
          <w:sz w:val="20"/>
        </w:rPr>
        <w:t>Notes/Comments:</w:t>
      </w:r>
    </w:p>
    <w:p w:rsidR="00AE3E37" w:rsidRPr="002E7108" w:rsidRDefault="00AE3E37">
      <w:pPr>
        <w:rPr>
          <w:rFonts w:ascii="Times New Roman" w:hAnsi="Times New Roman" w:cs="Times New Roman"/>
          <w:sz w:val="24"/>
        </w:rPr>
        <w:sectPr w:rsidR="00AE3E37" w:rsidRPr="002E7108">
          <w:type w:val="continuous"/>
          <w:pgSz w:w="11910" w:h="16840"/>
          <w:pgMar w:top="1740" w:right="600" w:bottom="840" w:left="620" w:header="720" w:footer="720" w:gutter="0"/>
          <w:cols w:space="720"/>
        </w:sectPr>
      </w:pPr>
    </w:p>
    <w:p w:rsidR="00AE3E37" w:rsidRPr="002E7108" w:rsidRDefault="00AE3E37">
      <w:pPr>
        <w:pStyle w:val="BodyText"/>
        <w:spacing w:before="3"/>
        <w:rPr>
          <w:rFonts w:ascii="Times New Roman" w:hAnsi="Times New Roman" w:cs="Times New Roman"/>
          <w:sz w:val="26"/>
        </w:rPr>
      </w:pPr>
    </w:p>
    <w:sectPr w:rsidR="00AE3E37" w:rsidRPr="002E710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AC2" w:rsidRDefault="00BC2AC2">
      <w:r>
        <w:separator/>
      </w:r>
    </w:p>
  </w:endnote>
  <w:endnote w:type="continuationSeparator" w:id="0">
    <w:p w:rsidR="00BC2AC2" w:rsidRDefault="00BC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3DE894D" wp14:editId="0B45F18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4F24AE" wp14:editId="183EE4E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AC2" w:rsidRDefault="00BC2AC2">
      <w:r>
        <w:separator/>
      </w:r>
    </w:p>
  </w:footnote>
  <w:footnote w:type="continuationSeparator" w:id="0">
    <w:p w:rsidR="00BC2AC2" w:rsidRDefault="00BC2A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AC7A341" wp14:editId="67CECEC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C078C1"/>
    <w:multiLevelType w:val="hybridMultilevel"/>
    <w:tmpl w:val="D0E686C2"/>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221E"/>
    <w:rsid w:val="000D5E00"/>
    <w:rsid w:val="000E2911"/>
    <w:rsid w:val="001263DF"/>
    <w:rsid w:val="00184CF5"/>
    <w:rsid w:val="001E763C"/>
    <w:rsid w:val="00220B75"/>
    <w:rsid w:val="00292ED9"/>
    <w:rsid w:val="002E1758"/>
    <w:rsid w:val="002E7108"/>
    <w:rsid w:val="002F224D"/>
    <w:rsid w:val="00314AFB"/>
    <w:rsid w:val="003B76D9"/>
    <w:rsid w:val="003D6DD1"/>
    <w:rsid w:val="003F462A"/>
    <w:rsid w:val="00404E5B"/>
    <w:rsid w:val="00414F7B"/>
    <w:rsid w:val="00423246"/>
    <w:rsid w:val="004355DC"/>
    <w:rsid w:val="004749B4"/>
    <w:rsid w:val="004910BF"/>
    <w:rsid w:val="00494130"/>
    <w:rsid w:val="004F3523"/>
    <w:rsid w:val="00543298"/>
    <w:rsid w:val="005973B9"/>
    <w:rsid w:val="005B3A56"/>
    <w:rsid w:val="006060CE"/>
    <w:rsid w:val="0063497F"/>
    <w:rsid w:val="006B72F3"/>
    <w:rsid w:val="007064E4"/>
    <w:rsid w:val="0078738A"/>
    <w:rsid w:val="00821FB1"/>
    <w:rsid w:val="00873DF0"/>
    <w:rsid w:val="008756E6"/>
    <w:rsid w:val="00902981"/>
    <w:rsid w:val="009B2D44"/>
    <w:rsid w:val="009F32F6"/>
    <w:rsid w:val="00A07E82"/>
    <w:rsid w:val="00A5471C"/>
    <w:rsid w:val="00A61946"/>
    <w:rsid w:val="00A9710C"/>
    <w:rsid w:val="00AC3822"/>
    <w:rsid w:val="00AE3E37"/>
    <w:rsid w:val="00B21A57"/>
    <w:rsid w:val="00B45665"/>
    <w:rsid w:val="00B45940"/>
    <w:rsid w:val="00BC2AC2"/>
    <w:rsid w:val="00C33602"/>
    <w:rsid w:val="00C42131"/>
    <w:rsid w:val="00CD6F55"/>
    <w:rsid w:val="00D62425"/>
    <w:rsid w:val="00DE3104"/>
    <w:rsid w:val="00DF21F7"/>
    <w:rsid w:val="00E11BE4"/>
    <w:rsid w:val="00EC4BB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72503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16/j.ejphar.2020.173305" TargetMode="External"/><Relationship Id="rId18" Type="http://schemas.openxmlformats.org/officeDocument/2006/relationships/hyperlink" Target="mailto:kriti41@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155/2021/8836599" TargetMode="External"/><Relationship Id="rId17" Type="http://schemas.microsoft.com/office/2007/relationships/hdphoto" Target="media/hdphoto1.wdp"/><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16/j.phymed.2022.154318" TargetMode="External"/><Relationship Id="rId5" Type="http://schemas.openxmlformats.org/officeDocument/2006/relationships/webSettings" Target="webSettings.xml"/><Relationship Id="rId15" Type="http://schemas.openxmlformats.org/officeDocument/2006/relationships/hyperlink" Target="https://doi.org/10.1016/j.cbi.2018.06.015"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3390/antiox90705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27</cp:revision>
  <dcterms:created xsi:type="dcterms:W3CDTF">2016-08-31T13:10:00Z</dcterms:created>
  <dcterms:modified xsi:type="dcterms:W3CDTF">2022-10-30T09:55:00Z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