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BD2" w:rsidRPr="00452FD6" w:rsidRDefault="00EA1949" w:rsidP="00226FE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Significant contribution to bone homeostasis restoring</w:t>
      </w:r>
      <w:r w:rsidR="00226FE0" w:rsidRPr="00452F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through modeling mechanisms induced by a marine bioactive complex</w:t>
      </w:r>
    </w:p>
    <w:p w:rsidR="00163918" w:rsidRPr="00452FD6" w:rsidRDefault="00226FE0" w:rsidP="00452FD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="00155BD2" w:rsidRPr="00452F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Dr. Laura Olariu, SC Biotehnos SA, </w:t>
      </w:r>
      <w:r w:rsidR="00155BD2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associate member of the </w:t>
      </w:r>
      <w:r w:rsidR="00155BD2" w:rsidRPr="00452FD6">
        <w:rPr>
          <w:rFonts w:ascii="Times New Roman" w:hAnsi="Times New Roman" w:cs="Times New Roman"/>
          <w:b/>
          <w:sz w:val="24"/>
          <w:szCs w:val="24"/>
          <w:lang w:val="en-US"/>
        </w:rPr>
        <w:t>Academy of Romanian Scientists</w:t>
      </w:r>
    </w:p>
    <w:p w:rsidR="00155BD2" w:rsidRDefault="00155BD2" w:rsidP="00452FD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Dr. Emilia Buse</w:t>
      </w:r>
      <w:r w:rsidR="00452FD6" w:rsidRPr="00452F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SC Biotehnos SA – 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corresponding author</w:t>
      </w:r>
      <w:r w:rsidR="00452FD6" w:rsidRPr="00452FD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hyperlink r:id="rId5" w:history="1">
        <w:r w:rsidR="00452FD6" w:rsidRPr="00437C9C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emilia.buse@biotehnos.com</w:t>
        </w:r>
      </w:hyperlink>
    </w:p>
    <w:p w:rsidR="00452FD6" w:rsidRDefault="00452FD6" w:rsidP="00452FD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Brindusa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Georgiana Dumitriu, </w:t>
      </w: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SC Biotehnos SA</w:t>
      </w:r>
    </w:p>
    <w:p w:rsidR="00452FD6" w:rsidRPr="00452FD6" w:rsidRDefault="00452FD6" w:rsidP="00452FD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Dr. Mihai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Bojinca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Dr. I.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Cantacuzino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Hospital Bucharest, 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Internal Medicine and Rheumatology Clini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452FD6" w:rsidRDefault="00452FD6" w:rsidP="00452FD6">
      <w:pPr>
        <w:pStyle w:val="Heading3"/>
        <w:spacing w:before="147"/>
        <w:jc w:val="both"/>
      </w:pPr>
      <w:r>
        <w:rPr>
          <w:color w:val="BF5A14"/>
        </w:rPr>
        <w:t>Abstract (300 word limit)</w:t>
      </w:r>
    </w:p>
    <w:p w:rsidR="00226FE0" w:rsidRPr="00452FD6" w:rsidRDefault="00226FE0" w:rsidP="00226FE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Statement of the Problem: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29F2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Bone remodeling occurs as a </w:t>
      </w:r>
      <w:r w:rsidR="00CE7557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multifactorial event coordinated by </w:t>
      </w:r>
      <w:r w:rsidR="00F129F2" w:rsidRPr="00452FD6">
        <w:rPr>
          <w:rFonts w:ascii="Times New Roman" w:hAnsi="Times New Roman" w:cs="Times New Roman"/>
          <w:sz w:val="24"/>
          <w:szCs w:val="24"/>
          <w:lang w:val="en-US"/>
        </w:rPr>
        <w:t>bone-resorbing osteoclasts and bone-forming</w:t>
      </w:r>
      <w:r w:rsidR="00CE7557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29F2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osteoblasts </w:t>
      </w:r>
      <w:r w:rsidR="00F66CD3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and is a key process in many osteoarticular diseases: osteoarthritis, osteoporosis, </w:t>
      </w:r>
      <w:r w:rsidR="00B67F1E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osteodystrophy, osteogenesis imperfecta, etc. </w:t>
      </w:r>
      <w:r w:rsidR="00EA1DF0" w:rsidRPr="00452FD6">
        <w:rPr>
          <w:rFonts w:ascii="Times New Roman" w:hAnsi="Times New Roman" w:cs="Times New Roman"/>
          <w:sz w:val="24"/>
          <w:szCs w:val="24"/>
          <w:lang w:val="en-US"/>
        </w:rPr>
        <w:t>The ageing time is associated with</w:t>
      </w:r>
      <w:r w:rsidR="00B67F1E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a low osteoblasts synthesis and an accelerated </w:t>
      </w:r>
      <w:proofErr w:type="spellStart"/>
      <w:r w:rsidR="00B67F1E" w:rsidRPr="00452FD6">
        <w:rPr>
          <w:rFonts w:ascii="Times New Roman" w:hAnsi="Times New Roman" w:cs="Times New Roman"/>
          <w:sz w:val="24"/>
          <w:szCs w:val="24"/>
          <w:lang w:val="en-US"/>
        </w:rPr>
        <w:t>osteoclasts</w:t>
      </w:r>
      <w:proofErr w:type="spellEnd"/>
      <w:r w:rsidR="00B67F1E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-driven bone </w:t>
      </w:r>
      <w:r w:rsidR="00327D4B" w:rsidRPr="00452FD6">
        <w:rPr>
          <w:rFonts w:ascii="Times New Roman" w:hAnsi="Times New Roman" w:cs="Times New Roman"/>
          <w:sz w:val="24"/>
          <w:szCs w:val="24"/>
          <w:lang w:val="en-US"/>
        </w:rPr>
        <w:t>resorption</w:t>
      </w:r>
      <w:r w:rsidR="00B67F1E" w:rsidRPr="00452FD6">
        <w:rPr>
          <w:rFonts w:ascii="Times New Roman" w:hAnsi="Times New Roman" w:cs="Times New Roman"/>
          <w:sz w:val="24"/>
          <w:szCs w:val="24"/>
          <w:lang w:val="en-US"/>
        </w:rPr>
        <w:t>. The bone homeostasis could dramatically be destroyed by extrinsic factors as hormones or growth factors</w:t>
      </w:r>
      <w:r w:rsidR="00AE20DF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3576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or by intrinsic mechanisms caused by osteoblasts cellular senescence. As a consequence, the progressive bone loss is installed. The main therapies for these wide spreading </w:t>
      </w:r>
      <w:r w:rsidR="00327D4B" w:rsidRPr="00452FD6">
        <w:rPr>
          <w:rFonts w:ascii="Times New Roman" w:hAnsi="Times New Roman" w:cs="Times New Roman"/>
          <w:sz w:val="24"/>
          <w:szCs w:val="24"/>
          <w:lang w:val="en-US"/>
        </w:rPr>
        <w:t>phenomena</w:t>
      </w:r>
      <w:r w:rsidR="007C3576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concern the anti-catabolic drugs, including estrogens, </w:t>
      </w:r>
      <w:proofErr w:type="gramStart"/>
      <w:r w:rsidR="007C3576" w:rsidRPr="00452FD6">
        <w:rPr>
          <w:rFonts w:ascii="Times New Roman" w:hAnsi="Times New Roman" w:cs="Times New Roman"/>
          <w:sz w:val="24"/>
          <w:szCs w:val="24"/>
          <w:lang w:val="en-US"/>
        </w:rPr>
        <w:t>SERMS(</w:t>
      </w:r>
      <w:proofErr w:type="gramEnd"/>
      <w:r w:rsidR="007C3576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selective estrogen receptor modulators), amino-biphosphonates and RANKL-inhibitors.  These drugs reduce bone </w:t>
      </w:r>
      <w:r w:rsidR="00327D4B" w:rsidRPr="00452FD6">
        <w:rPr>
          <w:rFonts w:ascii="Times New Roman" w:hAnsi="Times New Roman" w:cs="Times New Roman"/>
          <w:sz w:val="24"/>
          <w:szCs w:val="24"/>
          <w:lang w:val="en-US"/>
        </w:rPr>
        <w:t>resorption</w:t>
      </w:r>
      <w:r w:rsidR="007C3576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during the </w:t>
      </w:r>
      <w:r w:rsidR="00327D4B" w:rsidRPr="00452FD6">
        <w:rPr>
          <w:rFonts w:ascii="Times New Roman" w:hAnsi="Times New Roman" w:cs="Times New Roman"/>
          <w:sz w:val="24"/>
          <w:szCs w:val="24"/>
          <w:lang w:val="en-US"/>
        </w:rPr>
        <w:t>remodeling</w:t>
      </w:r>
      <w:r w:rsidR="007C3576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process. Even they are efficient in bone mass stabilization, anabolic drugs targeting osteoblastic cells are needed to increase bone formation and resistance.</w:t>
      </w:r>
      <w:r w:rsid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Methodology &amp; Theoretical Orientation: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5D8C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Our research is focused on main remodeling cycle mechanisms:  “in vitro” differentiation of osteoclasts and their activation, as well as </w:t>
      </w:r>
      <w:r w:rsidR="00EA1DF0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osteoarthritic </w:t>
      </w:r>
      <w:r w:rsidR="00145D8C" w:rsidRPr="00452FD6">
        <w:rPr>
          <w:rFonts w:ascii="Times New Roman" w:hAnsi="Times New Roman" w:cs="Times New Roman"/>
          <w:sz w:val="24"/>
          <w:szCs w:val="24"/>
          <w:lang w:val="en-US"/>
        </w:rPr>
        <w:t>osteoblasts synthesis and mineralization.  The experimental framework</w:t>
      </w:r>
      <w:r w:rsidR="00DA72C0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designed in order to define the role of a marine bioactive complex obtained through original biotechnologies </w:t>
      </w:r>
      <w:r w:rsidR="00145D8C" w:rsidRPr="00452FD6">
        <w:rPr>
          <w:rFonts w:ascii="Times New Roman" w:hAnsi="Times New Roman" w:cs="Times New Roman"/>
          <w:sz w:val="24"/>
          <w:szCs w:val="24"/>
          <w:lang w:val="en-US"/>
        </w:rPr>
        <w:t>consists in standardized cell lines (OCP – Lonza and HOB-</w:t>
      </w:r>
      <w:r w:rsidR="00EA1DF0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OA - </w:t>
      </w:r>
      <w:r w:rsidR="00145D8C" w:rsidRPr="00452FD6">
        <w:rPr>
          <w:rFonts w:ascii="Times New Roman" w:hAnsi="Times New Roman" w:cs="Times New Roman"/>
          <w:sz w:val="24"/>
          <w:szCs w:val="24"/>
          <w:lang w:val="en-US"/>
        </w:rPr>
        <w:t>Promocell)</w:t>
      </w:r>
      <w:r w:rsidR="00DA72C0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5D8C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and reliable methodologies of investigation: fluorescence microscopy, flow cytometry. </w:t>
      </w: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Findings: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1DF0" w:rsidRPr="00452FD6">
        <w:rPr>
          <w:rFonts w:ascii="Times New Roman" w:hAnsi="Times New Roman" w:cs="Times New Roman"/>
          <w:sz w:val="24"/>
          <w:szCs w:val="24"/>
          <w:lang w:val="en-US"/>
        </w:rPr>
        <w:t>The marine bioactive complex stimulates the osteoblasts mineralization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and alkaline phosphatase externalization, suggesting their regeneration, and inhibits   osteoclasts differentiation expressed by morphological changes of their multinucleate status, together with the bone </w:t>
      </w:r>
      <w:r w:rsidR="00327D4B" w:rsidRPr="00452FD6">
        <w:rPr>
          <w:rFonts w:ascii="Times New Roman" w:hAnsi="Times New Roman" w:cs="Times New Roman"/>
          <w:sz w:val="24"/>
          <w:szCs w:val="24"/>
          <w:lang w:val="en-US"/>
        </w:rPr>
        <w:t>resorption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process driven by extracellular RANKL.</w:t>
      </w:r>
      <w:r w:rsid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2FD6">
        <w:rPr>
          <w:rFonts w:ascii="Times New Roman" w:hAnsi="Times New Roman" w:cs="Times New Roman"/>
          <w:b/>
          <w:sz w:val="24"/>
          <w:szCs w:val="24"/>
          <w:lang w:val="en-US"/>
        </w:rPr>
        <w:t>Conclusion &amp; Significance: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Acting on both mechanisms </w:t>
      </w:r>
      <w:r w:rsidR="004344B2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essentials for 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bone homeostasis, the marine bioactive complex </w:t>
      </w:r>
      <w:r w:rsidR="004344B2" w:rsidRPr="00452FD6">
        <w:rPr>
          <w:rFonts w:ascii="Times New Roman" w:hAnsi="Times New Roman" w:cs="Times New Roman"/>
          <w:sz w:val="24"/>
          <w:szCs w:val="24"/>
          <w:lang w:val="en-US"/>
        </w:rPr>
        <w:t>gain a particular interest for therapy, as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a promising </w:t>
      </w:r>
      <w:r w:rsidR="004344B2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natural 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solution </w:t>
      </w:r>
      <w:r w:rsidR="004344B2" w:rsidRPr="00452FD6">
        <w:rPr>
          <w:rFonts w:ascii="Times New Roman" w:hAnsi="Times New Roman" w:cs="Times New Roman"/>
          <w:sz w:val="24"/>
          <w:szCs w:val="24"/>
          <w:lang w:val="en-US"/>
        </w:rPr>
        <w:t>for “in situ” restoring of metabolic processes.</w:t>
      </w:r>
      <w:r w:rsidR="004F00AB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52FD6" w:rsidRDefault="00452FD6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</w:p>
    <w:p w:rsidR="00452FD6" w:rsidRDefault="00452FD6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</w:p>
    <w:p w:rsidR="00452FD6" w:rsidRDefault="00452FD6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</w:p>
    <w:p w:rsidR="00487BB7" w:rsidRDefault="00487BB7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</w:p>
    <w:p w:rsidR="00905E13" w:rsidRPr="00452FD6" w:rsidRDefault="00905E13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  <w:lastRenderedPageBreak/>
        <w:t>Image</w:t>
      </w:r>
    </w:p>
    <w:p w:rsidR="008059D6" w:rsidRPr="00452FD6" w:rsidRDefault="008059D6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noProof/>
          <w:color w:val="BF5A14"/>
          <w:sz w:val="24"/>
          <w:szCs w:val="24"/>
          <w:lang w:val="en-US" w:eastAsia="ro-RO"/>
        </w:rPr>
        <w:drawing>
          <wp:inline distT="0" distB="0" distL="0" distR="0">
            <wp:extent cx="6098348" cy="4147457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282" cy="4146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6FE0" w:rsidRPr="00452FD6" w:rsidRDefault="00905E13" w:rsidP="00226FE0">
      <w:pPr>
        <w:jc w:val="both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  <w:t>Recent Publications (minimum 5)</w:t>
      </w:r>
    </w:p>
    <w:p w:rsidR="00905E13" w:rsidRPr="00452FD6" w:rsidRDefault="00905E13" w:rsidP="00327D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C.D. </w:t>
      </w:r>
      <w:proofErr w:type="spellStart"/>
      <w:r w:rsidRPr="00452FD6">
        <w:rPr>
          <w:rFonts w:ascii="Times New Roman" w:hAnsi="Times New Roman" w:cs="Times New Roman"/>
          <w:sz w:val="24"/>
          <w:szCs w:val="24"/>
          <w:lang w:val="en-US"/>
        </w:rPr>
        <w:t>Hoemann</w:t>
      </w:r>
      <w:proofErr w:type="spellEnd"/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et al.</w:t>
      </w:r>
      <w:r w:rsidR="00487BB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Pathologie Biologie 57 (2009) 318–323</w:t>
      </w:r>
    </w:p>
    <w:p w:rsidR="00905E13" w:rsidRPr="00452FD6" w:rsidRDefault="00327D4B" w:rsidP="00327D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LJ Raggatt, The Journal of Biological Chemistry vol. </w:t>
      </w:r>
      <w:r w:rsidR="00905E13" w:rsidRPr="00452FD6">
        <w:rPr>
          <w:rFonts w:ascii="Times New Roman" w:hAnsi="Times New Roman" w:cs="Times New Roman"/>
          <w:sz w:val="24"/>
          <w:szCs w:val="24"/>
          <w:lang w:val="en-US"/>
        </w:rPr>
        <w:t>285, N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05E13" w:rsidRPr="00452FD6">
        <w:rPr>
          <w:rFonts w:ascii="Times New Roman" w:hAnsi="Times New Roman" w:cs="Times New Roman"/>
          <w:sz w:val="24"/>
          <w:szCs w:val="24"/>
          <w:lang w:val="en-US"/>
        </w:rPr>
        <w:t>. 33, pp. 25103–25108, August 13, 2010</w:t>
      </w:r>
    </w:p>
    <w:p w:rsidR="007C3576" w:rsidRPr="00452FD6" w:rsidRDefault="007C3576" w:rsidP="00327D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Marie P.J., Kassem M., </w:t>
      </w:r>
      <w:proofErr w:type="spellStart"/>
      <w:r w:rsidRPr="00452FD6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452FD6">
        <w:rPr>
          <w:rFonts w:ascii="Times New Roman" w:hAnsi="Times New Roman" w:cs="Times New Roman"/>
          <w:sz w:val="24"/>
          <w:szCs w:val="24"/>
          <w:lang w:val="en-US"/>
        </w:rPr>
        <w:t>Endocrinol</w:t>
      </w:r>
      <w:proofErr w:type="spellEnd"/>
      <w:r w:rsidRPr="00452FD6">
        <w:rPr>
          <w:rFonts w:ascii="Times New Roman" w:hAnsi="Times New Roman" w:cs="Times New Roman"/>
          <w:sz w:val="24"/>
          <w:szCs w:val="24"/>
          <w:lang w:val="en-US"/>
        </w:rPr>
        <w:t>., 165(1):1-10</w:t>
      </w:r>
      <w:r w:rsidR="00487BB7" w:rsidRPr="00452FD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87BB7" w:rsidRPr="00487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7BB7" w:rsidRPr="00452FD6">
        <w:rPr>
          <w:rFonts w:ascii="Times New Roman" w:hAnsi="Times New Roman" w:cs="Times New Roman"/>
          <w:sz w:val="24"/>
          <w:szCs w:val="24"/>
          <w:lang w:val="en-US"/>
        </w:rPr>
        <w:t>2011</w:t>
      </w:r>
    </w:p>
    <w:p w:rsidR="004344B2" w:rsidRPr="00452FD6" w:rsidRDefault="004344B2" w:rsidP="00327D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Ann N.Y., Hadjidakis D.J.., </w:t>
      </w:r>
      <w:proofErr w:type="spellStart"/>
      <w:r w:rsidRPr="00452FD6">
        <w:rPr>
          <w:rFonts w:ascii="Times New Roman" w:hAnsi="Times New Roman" w:cs="Times New Roman"/>
          <w:sz w:val="24"/>
          <w:szCs w:val="24"/>
          <w:lang w:val="en-US"/>
        </w:rPr>
        <w:t>Androulakis</w:t>
      </w:r>
      <w:proofErr w:type="spellEnd"/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I.I., </w:t>
      </w:r>
      <w:proofErr w:type="spellStart"/>
      <w:r w:rsidRPr="00452FD6">
        <w:rPr>
          <w:rFonts w:ascii="Times New Roman" w:hAnsi="Times New Roman" w:cs="Times New Roman"/>
          <w:sz w:val="24"/>
          <w:szCs w:val="24"/>
          <w:lang w:val="en-US"/>
        </w:rPr>
        <w:t>Acad</w:t>
      </w:r>
      <w:proofErr w:type="spellEnd"/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Sci., 1092:385-96</w:t>
      </w:r>
      <w:r w:rsidR="00487BB7" w:rsidRPr="00452FD6">
        <w:rPr>
          <w:rFonts w:ascii="Times New Roman" w:hAnsi="Times New Roman" w:cs="Times New Roman"/>
          <w:sz w:val="24"/>
          <w:szCs w:val="24"/>
          <w:lang w:val="en-US"/>
        </w:rPr>
        <w:t>, 2006</w:t>
      </w:r>
    </w:p>
    <w:p w:rsidR="004344B2" w:rsidRPr="00452FD6" w:rsidRDefault="004344B2" w:rsidP="00327D4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en-US"/>
        </w:rPr>
        <w:t>Cavalli L</w:t>
      </w:r>
      <w:r w:rsidR="00327D4B" w:rsidRPr="00452FD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en-US"/>
        </w:rPr>
        <w:t>.,</w:t>
      </w:r>
      <w:r w:rsidRPr="00452FD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en-US"/>
        </w:rPr>
        <w:t xml:space="preserve"> Brandi</w:t>
      </w:r>
      <w:r w:rsidR="00327D4B" w:rsidRPr="00452FD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en-US"/>
        </w:rPr>
        <w:t xml:space="preserve"> M. L.,</w:t>
      </w:r>
      <w:r w:rsidR="00327D4B" w:rsidRPr="00452FD6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  <w:lang w:val="en-US"/>
        </w:rPr>
        <w:t xml:space="preserve"> </w:t>
      </w:r>
      <w:r w:rsidRPr="00452FD6">
        <w:rPr>
          <w:rFonts w:ascii="Times New Roman" w:hAnsi="Times New Roman" w:cs="Times New Roman"/>
          <w:iCs/>
          <w:color w:val="303030"/>
          <w:sz w:val="24"/>
          <w:szCs w:val="24"/>
          <w:shd w:val="clear" w:color="auto" w:fill="FFFFFF"/>
          <w:lang w:val="en-US"/>
        </w:rPr>
        <w:t>Therapeutics and clinical risk management</w:t>
      </w:r>
      <w:r w:rsidRPr="00452FD6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en-US"/>
        </w:rPr>
        <w:t xml:space="preserve"> vol. 8 (2012): 253-66. </w:t>
      </w:r>
    </w:p>
    <w:p w:rsidR="004344B2" w:rsidRPr="00452FD6" w:rsidRDefault="004344B2" w:rsidP="00327D4B">
      <w:pPr>
        <w:pStyle w:val="ListParagraph"/>
        <w:numPr>
          <w:ilvl w:val="0"/>
          <w:numId w:val="1"/>
        </w:numPr>
        <w:shd w:val="clear" w:color="auto" w:fill="FFFFFF"/>
        <w:spacing w:before="120" w:after="120" w:line="300" w:lineRule="atLeast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o-RO"/>
        </w:rPr>
      </w:pPr>
      <w:hyperlink r:id="rId7" w:history="1">
        <w:r w:rsidRPr="00452FD6">
          <w:rPr>
            <w:rFonts w:ascii="Times New Roman" w:eastAsia="Times New Roman" w:hAnsi="Times New Roman" w:cs="Times New Roman"/>
            <w:sz w:val="24"/>
            <w:szCs w:val="24"/>
            <w:lang w:val="en-US" w:eastAsia="ro-RO"/>
          </w:rPr>
          <w:t>Lewiecki EM</w:t>
        </w:r>
      </w:hyperlink>
      <w:r w:rsidRPr="00452FD6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</w:t>
      </w:r>
      <w:hyperlink r:id="rId8" w:tooltip="Therapeutic advances in musculoskeletal disease." w:history="1">
        <w:r w:rsidRPr="00452FD6">
          <w:rPr>
            <w:rFonts w:ascii="Times New Roman" w:eastAsia="Times New Roman" w:hAnsi="Times New Roman" w:cs="Times New Roman"/>
            <w:sz w:val="24"/>
            <w:szCs w:val="24"/>
            <w:lang w:val="en-US" w:eastAsia="ro-RO"/>
          </w:rPr>
          <w:t>Ther Adv Musculoskelet Dis.</w:t>
        </w:r>
      </w:hyperlink>
      <w:r w:rsidRPr="00452FD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o-RO"/>
        </w:rPr>
        <w:t> 2018 Oct 22</w:t>
      </w:r>
      <w:r w:rsidR="00487BB7" w:rsidRPr="00452FD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o-RO"/>
        </w:rPr>
        <w:t>; 10</w:t>
      </w:r>
      <w:r w:rsidRPr="00452FD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o-RO"/>
        </w:rPr>
        <w:t xml:space="preserve">(11):209-223. </w:t>
      </w:r>
    </w:p>
    <w:p w:rsidR="00787B57" w:rsidRPr="00487BB7" w:rsidRDefault="00787B57" w:rsidP="004344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</w:pPr>
      <w:r w:rsidRPr="00487BB7"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  <w:t>Biography</w:t>
      </w:r>
      <w:r w:rsidR="00327D4B" w:rsidRPr="00487BB7">
        <w:rPr>
          <w:rFonts w:ascii="Times New Roman" w:hAnsi="Times New Roman" w:cs="Times New Roman"/>
          <w:b/>
          <w:color w:val="BF5A14"/>
          <w:sz w:val="24"/>
          <w:szCs w:val="24"/>
          <w:lang w:val="en-US"/>
        </w:rPr>
        <w:t>:</w:t>
      </w:r>
    </w:p>
    <w:p w:rsidR="004344B2" w:rsidRPr="00452FD6" w:rsidRDefault="008059D6" w:rsidP="0078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FD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Laura Olariu, 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director of the R</w:t>
      </w:r>
      <w:r w:rsidR="00F00B4C" w:rsidRPr="00452FD6">
        <w:rPr>
          <w:rFonts w:ascii="Times New Roman" w:hAnsi="Times New Roman" w:cs="Times New Roman"/>
          <w:sz w:val="24"/>
          <w:szCs w:val="24"/>
          <w:lang w:val="en-US"/>
        </w:rPr>
        <w:t>&amp;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00B4C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department of Biotehnos SA, PhD in biology - biochemistry, associate member of the Academy of Scientists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has as 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fields of expertise: cell and molecular biology, biochemistry, border biotechnologies with medicine science, biopharmaceuticals, immunology, cancer biology, applications in dermatocosmetics and food safety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>. Her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competence result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from the quality of project director for 12 complex research and technological transfer projects and partner coordinator for 27 projects including 4 international ones. 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>She has e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xperience in complex research projects - innovation development of technologies for obtaining biologically active substances from indigenous raw materials associated with the development of specific models of cellular dynamics and prediction and preclinical pharmacological investigation. 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>She has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14 international awards (7 gold medals, 5 silver, 1 bronze, 1 “Woman in research” award 2018)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>, is c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>o-author of 10 patents and 3 patent applications,</w:t>
      </w:r>
      <w:r w:rsidR="00787B57"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as well as over 140 relevant research communication and published papers.</w:t>
      </w:r>
      <w:r w:rsidRPr="00452F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4344B2" w:rsidRPr="00452FD6" w:rsidSect="00163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53ED0"/>
    <w:multiLevelType w:val="hybridMultilevel"/>
    <w:tmpl w:val="C6DECD2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EA1949"/>
    <w:rsid w:val="000F4AC5"/>
    <w:rsid w:val="00112BF6"/>
    <w:rsid w:val="00145D8C"/>
    <w:rsid w:val="00155BD2"/>
    <w:rsid w:val="00163918"/>
    <w:rsid w:val="00224F79"/>
    <w:rsid w:val="00226FE0"/>
    <w:rsid w:val="00327D4B"/>
    <w:rsid w:val="004344B2"/>
    <w:rsid w:val="00452FD6"/>
    <w:rsid w:val="00487BB7"/>
    <w:rsid w:val="004F00AB"/>
    <w:rsid w:val="00787B57"/>
    <w:rsid w:val="007C3576"/>
    <w:rsid w:val="008059D6"/>
    <w:rsid w:val="00905E13"/>
    <w:rsid w:val="009D2309"/>
    <w:rsid w:val="00A815AB"/>
    <w:rsid w:val="00AE20DF"/>
    <w:rsid w:val="00B67F1E"/>
    <w:rsid w:val="00C24B39"/>
    <w:rsid w:val="00CE7557"/>
    <w:rsid w:val="00DA72C0"/>
    <w:rsid w:val="00E66795"/>
    <w:rsid w:val="00EA1949"/>
    <w:rsid w:val="00EA1DF0"/>
    <w:rsid w:val="00F00B4C"/>
    <w:rsid w:val="00F129F2"/>
    <w:rsid w:val="00F66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18"/>
  </w:style>
  <w:style w:type="paragraph" w:styleId="Heading1">
    <w:name w:val="heading 1"/>
    <w:basedOn w:val="Normal"/>
    <w:link w:val="Heading1Char"/>
    <w:uiPriority w:val="9"/>
    <w:qFormat/>
    <w:rsid w:val="004344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F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576"/>
    <w:rPr>
      <w:color w:val="0000FF"/>
      <w:u w:val="single"/>
    </w:rPr>
  </w:style>
  <w:style w:type="character" w:customStyle="1" w:styleId="tlid-translation">
    <w:name w:val="tlid-translation"/>
    <w:basedOn w:val="DefaultParagraphFont"/>
    <w:rsid w:val="007C3576"/>
  </w:style>
  <w:style w:type="paragraph" w:styleId="ListParagraph">
    <w:name w:val="List Paragraph"/>
    <w:basedOn w:val="Normal"/>
    <w:uiPriority w:val="34"/>
    <w:qFormat/>
    <w:rsid w:val="007C357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344B2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hps">
    <w:name w:val="hps"/>
    <w:basedOn w:val="DefaultParagraphFont"/>
    <w:rsid w:val="008059D6"/>
  </w:style>
  <w:style w:type="paragraph" w:styleId="BalloonText">
    <w:name w:val="Balloon Text"/>
    <w:basedOn w:val="Normal"/>
    <w:link w:val="BalloonTextChar"/>
    <w:uiPriority w:val="99"/>
    <w:semiHidden/>
    <w:unhideWhenUsed/>
    <w:rsid w:val="00805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9D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FD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7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15792">
                          <w:marLeft w:val="0"/>
                          <w:marRight w:val="0"/>
                          <w:marTop w:val="0"/>
                          <w:marBottom w:val="6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71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70017">
                              <w:marLeft w:val="0"/>
                              <w:marRight w:val="171"/>
                              <w:marTop w:val="10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65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1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0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1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2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303864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Lewiecki%20EM%5BAuthor%5D&amp;cauthor=true&amp;cauthor_uid=303864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emilia.buse@biotehnos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3822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Abstract (300 word limit)</vt:lpstr>
      <vt:lpstr>Lewiecki EM, Ther Adv Musculoskelet Dis. 2018 Oct 22;10(11):209-223. </vt:lpstr>
    </vt:vector>
  </TitlesOfParts>
  <Company>Microsoft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dbrandusa</dc:creator>
  <cp:lastModifiedBy>dbrandusa</cp:lastModifiedBy>
  <cp:revision>2</cp:revision>
  <dcterms:created xsi:type="dcterms:W3CDTF">2020-02-21T15:56:00Z</dcterms:created>
  <dcterms:modified xsi:type="dcterms:W3CDTF">2020-02-21T15:56:00Z</dcterms:modified>
</cp:coreProperties>
</file>