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D990C" w14:textId="75EBA7C1" w:rsidR="00AE3E37" w:rsidRPr="00427061" w:rsidRDefault="00427061" w:rsidP="00427061">
      <w:pPr>
        <w:pStyle w:val="1"/>
        <w:spacing w:before="170"/>
        <w:rPr>
          <w:color w:val="337AB7"/>
        </w:rPr>
      </w:pPr>
      <w:r w:rsidRPr="00427061">
        <w:rPr>
          <w:color w:val="337AB7"/>
        </w:rPr>
        <w:t xml:space="preserve">Mechanical stimulation of PIEZO1 induces Runx-2 gene expression through the </w:t>
      </w:r>
      <w:proofErr w:type="spellStart"/>
      <w:r w:rsidRPr="00427061">
        <w:rPr>
          <w:color w:val="337AB7"/>
        </w:rPr>
        <w:t>Akt</w:t>
      </w:r>
      <w:proofErr w:type="spellEnd"/>
      <w:r w:rsidRPr="00427061">
        <w:rPr>
          <w:color w:val="337AB7"/>
        </w:rPr>
        <w:t>/GSK-3β/β-catenin pathway in MC3T3-E1 cells</w:t>
      </w:r>
    </w:p>
    <w:p w14:paraId="39CD990D" w14:textId="41BCC8B4" w:rsidR="0078738A" w:rsidRDefault="0078738A" w:rsidP="005973B9">
      <w:pPr>
        <w:pStyle w:val="a3"/>
        <w:spacing w:before="73" w:line="198" w:lineRule="exact"/>
        <w:ind w:left="100" w:right="5987"/>
        <w:rPr>
          <w:rFonts w:ascii="Arial"/>
        </w:rPr>
      </w:pPr>
      <w:bookmarkStart w:id="0" w:name="OLE_LINK1"/>
      <w:bookmarkStart w:id="1" w:name="OLE_LINK2"/>
      <w:proofErr w:type="spellStart"/>
      <w:r>
        <w:rPr>
          <w:rFonts w:ascii="Arial"/>
        </w:rPr>
        <w:t>Dr</w:t>
      </w:r>
      <w:proofErr w:type="spellEnd"/>
      <w:r w:rsidR="00A25A3F">
        <w:rPr>
          <w:rFonts w:ascii="Arial"/>
        </w:rPr>
        <w:t xml:space="preserve"> Jidong Song</w:t>
      </w:r>
      <w:r w:rsidR="005973B9">
        <w:rPr>
          <w:rFonts w:ascii="Arial"/>
        </w:rPr>
        <w:t xml:space="preserve">, </w:t>
      </w:r>
      <w:r w:rsidR="00A25A3F">
        <w:rPr>
          <w:rFonts w:ascii="Arial"/>
        </w:rPr>
        <w:t>M</w:t>
      </w:r>
      <w:r w:rsidR="005973B9">
        <w:rPr>
          <w:rFonts w:ascii="Arial"/>
        </w:rPr>
        <w:t xml:space="preserve">D, </w:t>
      </w:r>
      <w:r w:rsidR="00A25A3F">
        <w:rPr>
          <w:rFonts w:ascii="Arial"/>
        </w:rPr>
        <w:t>Xi</w:t>
      </w:r>
      <w:r w:rsidR="00A25A3F">
        <w:rPr>
          <w:rFonts w:ascii="Arial"/>
        </w:rPr>
        <w:t>’</w:t>
      </w:r>
      <w:r w:rsidR="00A25A3F">
        <w:rPr>
          <w:rFonts w:ascii="Arial"/>
        </w:rPr>
        <w:t xml:space="preserve">an </w:t>
      </w:r>
      <w:proofErr w:type="spellStart"/>
      <w:r w:rsidR="00A25A3F">
        <w:rPr>
          <w:rFonts w:ascii="Arial"/>
        </w:rPr>
        <w:t>Jiaotong</w:t>
      </w:r>
      <w:proofErr w:type="spellEnd"/>
      <w:r w:rsidR="00A25A3F">
        <w:rPr>
          <w:rFonts w:ascii="Arial"/>
        </w:rPr>
        <w:t xml:space="preserve"> University, China</w:t>
      </w:r>
      <w:bookmarkEnd w:id="0"/>
      <w:bookmarkEnd w:id="1"/>
      <w:r w:rsidR="005973B9">
        <w:rPr>
          <w:rFonts w:ascii="Arial"/>
        </w:rPr>
        <w:t xml:space="preserve"> </w:t>
      </w:r>
    </w:p>
    <w:p w14:paraId="180EBB65" w14:textId="7179E0C4" w:rsidR="00A25A3F" w:rsidRPr="00771E62" w:rsidRDefault="00446223" w:rsidP="00771E62">
      <w:pPr>
        <w:pStyle w:val="a3"/>
        <w:ind w:firstLine="100"/>
        <w:rPr>
          <w:rFonts w:ascii="Arial"/>
        </w:rPr>
      </w:pPr>
      <w:proofErr w:type="spellStart"/>
      <w:r>
        <w:rPr>
          <w:rFonts w:ascii="Arial"/>
        </w:rPr>
        <w:t>Dr</w:t>
      </w:r>
      <w:proofErr w:type="spellEnd"/>
      <w:r>
        <w:rPr>
          <w:rFonts w:ascii="Arial"/>
        </w:rPr>
        <w:t xml:space="preserve"> </w:t>
      </w:r>
      <w:proofErr w:type="spellStart"/>
      <w:r>
        <w:rPr>
          <w:rFonts w:ascii="Arial"/>
        </w:rPr>
        <w:t>Xiaoqian</w:t>
      </w:r>
      <w:proofErr w:type="spellEnd"/>
      <w:r>
        <w:rPr>
          <w:rFonts w:ascii="Arial"/>
        </w:rPr>
        <w:t xml:space="preserve"> Dang, MD, Xi</w:t>
      </w:r>
      <w:r>
        <w:rPr>
          <w:rFonts w:ascii="Arial"/>
        </w:rPr>
        <w:t>’</w:t>
      </w:r>
      <w:r>
        <w:rPr>
          <w:rFonts w:ascii="Arial"/>
        </w:rPr>
        <w:t xml:space="preserve">an </w:t>
      </w:r>
      <w:proofErr w:type="spellStart"/>
      <w:r>
        <w:rPr>
          <w:rFonts w:ascii="Arial"/>
        </w:rPr>
        <w:t>Jiaotong</w:t>
      </w:r>
      <w:proofErr w:type="spellEnd"/>
      <w:r>
        <w:rPr>
          <w:rFonts w:ascii="Arial"/>
        </w:rPr>
        <w:t xml:space="preserve"> University, China</w:t>
      </w:r>
      <w:bookmarkStart w:id="2" w:name="_GoBack"/>
      <w:bookmarkEnd w:id="2"/>
    </w:p>
    <w:p w14:paraId="39CD9911" w14:textId="4363F1E8"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9CD9912" w14:textId="77777777" w:rsidR="00AE3E37" w:rsidRDefault="00A9710C">
      <w:pPr>
        <w:pStyle w:val="3"/>
        <w:spacing w:before="147"/>
        <w:jc w:val="both"/>
      </w:pPr>
      <w:r>
        <w:rPr>
          <w:color w:val="BF5A14"/>
        </w:rPr>
        <w:t>Abstract</w:t>
      </w:r>
      <w:r w:rsidR="00404E5B">
        <w:rPr>
          <w:color w:val="BF5A14"/>
        </w:rPr>
        <w:t xml:space="preserve"> (300 word limit)</w:t>
      </w:r>
    </w:p>
    <w:p w14:paraId="39CD9913" w14:textId="17CA236D" w:rsidR="00AE3E37" w:rsidRDefault="007331A8" w:rsidP="008565DC">
      <w:pPr>
        <w:pStyle w:val="a3"/>
        <w:spacing w:before="90" w:line="280" w:lineRule="auto"/>
        <w:ind w:left="100"/>
        <w:jc w:val="both"/>
      </w:pPr>
      <w:r w:rsidRPr="007331A8">
        <w:t>M</w:t>
      </w:r>
      <w:r w:rsidRPr="007331A8">
        <w:rPr>
          <w:rFonts w:hint="eastAsia"/>
        </w:rPr>
        <w:t>echanical</w:t>
      </w:r>
      <w:r w:rsidRPr="007331A8">
        <w:t xml:space="preserve">ly-induced biological responses in bone cells involve a complex biophysical process. Although various </w:t>
      </w:r>
      <w:proofErr w:type="spellStart"/>
      <w:r w:rsidRPr="007331A8">
        <w:t>mechanosensors</w:t>
      </w:r>
      <w:proofErr w:type="spellEnd"/>
      <w:r w:rsidRPr="007331A8">
        <w:t xml:space="preserve"> have been identified, the precise mechanotransduction pathway remains poorly understood. PIEZO1 functions as a new mechanically activated ion channel in bone cells. This study aimed to explore the involvement of PIEZO1 in mechanical loading (fluid shear stress)-induced signaling cascades that control </w:t>
      </w:r>
      <w:proofErr w:type="spellStart"/>
      <w:r w:rsidRPr="007331A8">
        <w:t>osteogenesis</w:t>
      </w:r>
      <w:proofErr w:type="spellEnd"/>
      <w:r w:rsidRPr="007331A8">
        <w:t>.</w:t>
      </w:r>
      <w:r w:rsidRPr="007331A8">
        <w:rPr>
          <w:rFonts w:hint="eastAsia"/>
        </w:rPr>
        <w:t xml:space="preserve"> </w:t>
      </w:r>
      <w:r w:rsidR="008565DC">
        <w:t>We applied a physiological range of fluid shear stress to the osteoblasts</w:t>
      </w:r>
      <w:r w:rsidR="006F01A4">
        <w:t xml:space="preserve"> using a horizontal shaking apparatus</w:t>
      </w:r>
      <w:r w:rsidR="008565DC">
        <w:t xml:space="preserve">. </w:t>
      </w:r>
      <w:r w:rsidRPr="007331A8">
        <w:t>The results showed that fluid shear stress increase</w:t>
      </w:r>
      <w:r w:rsidRPr="007331A8">
        <w:rPr>
          <w:rFonts w:hint="eastAsia"/>
        </w:rPr>
        <w:t>d</w:t>
      </w:r>
      <w:r w:rsidRPr="007331A8">
        <w:t xml:space="preserve"> PIEZO1 expression in MC3T3-E1 cells.</w:t>
      </w:r>
      <w:r w:rsidRPr="007331A8">
        <w:rPr>
          <w:rFonts w:hint="eastAsia"/>
        </w:rPr>
        <w:t xml:space="preserve"> </w:t>
      </w:r>
      <w:r w:rsidRPr="007331A8">
        <w:t>The fluid shear stress</w:t>
      </w:r>
      <w:r w:rsidRPr="007331A8">
        <w:rPr>
          <w:rFonts w:hint="eastAsia"/>
        </w:rPr>
        <w:t xml:space="preserve"> </w:t>
      </w:r>
      <w:r w:rsidRPr="007331A8">
        <w:t xml:space="preserve">promoted osteoblastic proliferation and elicited </w:t>
      </w:r>
      <w:r w:rsidRPr="007331A8">
        <w:rPr>
          <w:rFonts w:hint="eastAsia"/>
        </w:rPr>
        <w:t>the</w:t>
      </w:r>
      <w:r w:rsidRPr="007331A8">
        <w:t xml:space="preserve"> key osteoblastic gene Runx-2 overexpression; however, PIEZO1 silencing using small interference RNA blocked these</w:t>
      </w:r>
      <w:r w:rsidRPr="007331A8">
        <w:rPr>
          <w:rFonts w:hint="eastAsia"/>
        </w:rPr>
        <w:t xml:space="preserve"> </w:t>
      </w:r>
      <w:r w:rsidRPr="007331A8">
        <w:t xml:space="preserve">effects. The </w:t>
      </w:r>
      <w:bookmarkStart w:id="3" w:name="OLE_LINK6"/>
      <w:bookmarkStart w:id="4" w:name="OLE_LINK13"/>
      <w:r w:rsidRPr="007331A8">
        <w:t>AKT/GSK-3</w:t>
      </w:r>
      <w:r w:rsidRPr="007331A8">
        <w:rPr>
          <w:rFonts w:ascii="Calibri" w:hAnsi="Calibri" w:cs="Calibri"/>
        </w:rPr>
        <w:t>β</w:t>
      </w:r>
      <w:r w:rsidRPr="007331A8">
        <w:t>/</w:t>
      </w:r>
      <w:r w:rsidRPr="007331A8">
        <w:rPr>
          <w:rFonts w:ascii="Calibri" w:hAnsi="Calibri" w:cs="Calibri"/>
        </w:rPr>
        <w:t>β</w:t>
      </w:r>
      <w:r w:rsidRPr="007331A8">
        <w:t>-catenin</w:t>
      </w:r>
      <w:bookmarkEnd w:id="3"/>
      <w:bookmarkEnd w:id="4"/>
      <w:r w:rsidRPr="007331A8">
        <w:t xml:space="preserve"> pathway was activated in this process. PIEZO1 silencing impaired mechanically-induced activation of the AKT/GSK-3</w:t>
      </w:r>
      <w:r w:rsidRPr="007331A8">
        <w:rPr>
          <w:rFonts w:ascii="Calibri" w:hAnsi="Calibri" w:cs="Calibri"/>
        </w:rPr>
        <w:t>β</w:t>
      </w:r>
      <w:r w:rsidRPr="007331A8">
        <w:t>/</w:t>
      </w:r>
      <w:r w:rsidRPr="007331A8">
        <w:rPr>
          <w:rFonts w:ascii="Calibri" w:hAnsi="Calibri" w:cs="Calibri"/>
        </w:rPr>
        <w:t>β</w:t>
      </w:r>
      <w:r w:rsidRPr="007331A8">
        <w:t>-catenin pathway. Therefore, the results demonstrated that MC3T3-E1 osteoblasts required PIEZO1 to adapt to the external mechanical fluid shear stress, thereby inducing osteoblastic Runx-2 gene overexpression,</w:t>
      </w:r>
      <w:r w:rsidRPr="007331A8">
        <w:rPr>
          <w:rFonts w:hint="eastAsia"/>
        </w:rPr>
        <w:t xml:space="preserve"> </w:t>
      </w:r>
      <w:r w:rsidRPr="007331A8">
        <w:t>partly through the AKT/GSK-3</w:t>
      </w:r>
      <w:r w:rsidRPr="007331A8">
        <w:rPr>
          <w:rFonts w:ascii="Calibri" w:hAnsi="Calibri" w:cs="Calibri"/>
        </w:rPr>
        <w:t>β</w:t>
      </w:r>
      <w:r w:rsidRPr="007331A8">
        <w:t>/</w:t>
      </w:r>
      <w:r w:rsidRPr="007331A8">
        <w:rPr>
          <w:rFonts w:ascii="Calibri" w:hAnsi="Calibri" w:cs="Calibri"/>
        </w:rPr>
        <w:t>β</w:t>
      </w:r>
      <w:r w:rsidRPr="007331A8">
        <w:t>-catenin pathway.</w:t>
      </w:r>
    </w:p>
    <w:p w14:paraId="39CD9914" w14:textId="77777777" w:rsidR="00AE3E37" w:rsidRDefault="00A9710C">
      <w:pPr>
        <w:pStyle w:val="3"/>
        <w:spacing w:before="74"/>
      </w:pPr>
      <w:r>
        <w:rPr>
          <w:b w:val="0"/>
        </w:rPr>
        <w:br w:type="column"/>
      </w:r>
      <w:r>
        <w:rPr>
          <w:color w:val="BF5A14"/>
        </w:rPr>
        <w:t>Image</w:t>
      </w:r>
    </w:p>
    <w:p w14:paraId="39CD9915" w14:textId="6430F89D" w:rsidR="00AE3E37" w:rsidRDefault="007331A8">
      <w:pPr>
        <w:pStyle w:val="a3"/>
        <w:spacing w:before="2"/>
        <w:rPr>
          <w:rFonts w:ascii="Arial"/>
          <w:b/>
          <w:sz w:val="16"/>
        </w:rPr>
      </w:pPr>
      <w:r>
        <w:rPr>
          <w:noProof/>
          <w:lang w:eastAsia="zh-CN"/>
        </w:rPr>
        <w:drawing>
          <wp:inline distT="0" distB="0" distL="0" distR="0" wp14:anchorId="0CAE2CB2" wp14:editId="4B3F0731">
            <wp:extent cx="2948940" cy="2475690"/>
            <wp:effectExtent l="0" t="0" r="381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60414" cy="2485323"/>
                    </a:xfrm>
                    <a:prstGeom prst="rect">
                      <a:avLst/>
                    </a:prstGeom>
                  </pic:spPr>
                </pic:pic>
              </a:graphicData>
            </a:graphic>
          </wp:inline>
        </w:drawing>
      </w:r>
    </w:p>
    <w:p w14:paraId="39CD991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9CD9918" w14:textId="6632021E" w:rsidR="005973B9" w:rsidRPr="000B0868" w:rsidRDefault="000B0868" w:rsidP="000B0868">
      <w:pPr>
        <w:pStyle w:val="a5"/>
        <w:numPr>
          <w:ilvl w:val="0"/>
          <w:numId w:val="3"/>
        </w:numPr>
        <w:tabs>
          <w:tab w:val="left" w:pos="384"/>
        </w:tabs>
        <w:spacing w:line="216" w:lineRule="exact"/>
        <w:ind w:right="137" w:hanging="283"/>
        <w:rPr>
          <w:rFonts w:eastAsia="Tw Cen MT" w:cs="Tw Cen MT"/>
          <w:sz w:val="18"/>
          <w:szCs w:val="18"/>
        </w:rPr>
      </w:pPr>
      <w:r w:rsidRPr="000B0868">
        <w:rPr>
          <w:rFonts w:eastAsia="Tw Cen MT" w:cs="Tw Cen MT"/>
          <w:sz w:val="18"/>
          <w:szCs w:val="18"/>
        </w:rPr>
        <w:t xml:space="preserve">Wu, </w:t>
      </w:r>
      <w:r w:rsidR="00F140A5">
        <w:rPr>
          <w:rFonts w:eastAsia="Tw Cen MT" w:cs="Tw Cen MT"/>
          <w:sz w:val="18"/>
          <w:szCs w:val="18"/>
        </w:rPr>
        <w:t>J., Du, Y., Song, J., Dang, X.</w:t>
      </w:r>
      <w:proofErr w:type="gramStart"/>
      <w:r w:rsidR="00F140A5">
        <w:rPr>
          <w:rFonts w:eastAsia="Tw Cen MT" w:cs="Tw Cen MT"/>
          <w:sz w:val="18"/>
          <w:szCs w:val="18"/>
        </w:rPr>
        <w:t>,</w:t>
      </w:r>
      <w:r w:rsidRPr="000B0868">
        <w:rPr>
          <w:rFonts w:eastAsia="Tw Cen MT" w:cs="Tw Cen MT"/>
          <w:sz w:val="18"/>
          <w:szCs w:val="18"/>
        </w:rPr>
        <w:t xml:space="preserve"> .</w:t>
      </w:r>
      <w:proofErr w:type="gramEnd"/>
      <w:r w:rsidRPr="000B0868">
        <w:rPr>
          <w:rFonts w:eastAsia="Tw Cen MT" w:cs="Tw Cen MT"/>
          <w:sz w:val="18"/>
          <w:szCs w:val="18"/>
        </w:rPr>
        <w:t xml:space="preserve"> Liu, R. (2019). Genome-wide DNA methylation profiling of hip articular cartilage identifies differentially methylated loci associated with osteonecrosis of the femoral head. Bone, 127, 296-304.</w:t>
      </w:r>
    </w:p>
    <w:p w14:paraId="33EB089F" w14:textId="081D7397" w:rsidR="000B0868" w:rsidRPr="000B0868" w:rsidRDefault="000B0868" w:rsidP="005973B9">
      <w:pPr>
        <w:pStyle w:val="a5"/>
        <w:numPr>
          <w:ilvl w:val="0"/>
          <w:numId w:val="3"/>
        </w:numPr>
        <w:tabs>
          <w:tab w:val="left" w:pos="384"/>
        </w:tabs>
        <w:spacing w:before="92" w:line="218" w:lineRule="exact"/>
        <w:ind w:hanging="283"/>
        <w:rPr>
          <w:rFonts w:eastAsia="Tw Cen MT" w:cs="Tw Cen MT"/>
          <w:sz w:val="18"/>
          <w:szCs w:val="18"/>
        </w:rPr>
      </w:pPr>
      <w:r w:rsidRPr="000B0868">
        <w:rPr>
          <w:rFonts w:eastAsia="Tw Cen MT" w:cs="Tw Cen MT"/>
          <w:sz w:val="18"/>
          <w:szCs w:val="18"/>
        </w:rPr>
        <w:t>Song, D., Song, J., Yang, K.</w:t>
      </w:r>
      <w:proofErr w:type="gramStart"/>
      <w:r w:rsidRPr="000B0868">
        <w:rPr>
          <w:rFonts w:eastAsia="Tw Cen MT" w:cs="Tw Cen MT"/>
          <w:sz w:val="18"/>
          <w:szCs w:val="18"/>
        </w:rPr>
        <w:t xml:space="preserve">, </w:t>
      </w:r>
      <w:r w:rsidR="00771E62">
        <w:rPr>
          <w:rFonts w:asciiTheme="minorEastAsia" w:eastAsiaTheme="minorEastAsia" w:hAnsiTheme="minorEastAsia" w:cs="Tw Cen MT" w:hint="eastAsia"/>
          <w:sz w:val="18"/>
          <w:szCs w:val="18"/>
          <w:lang w:eastAsia="zh-CN"/>
        </w:rPr>
        <w:t>.</w:t>
      </w:r>
      <w:r w:rsidR="00771E62">
        <w:rPr>
          <w:rFonts w:asciiTheme="minorEastAsia" w:eastAsiaTheme="minorEastAsia" w:hAnsiTheme="minorEastAsia" w:cs="Tw Cen MT"/>
          <w:sz w:val="18"/>
          <w:szCs w:val="18"/>
          <w:lang w:eastAsia="zh-CN"/>
        </w:rPr>
        <w:t>.</w:t>
      </w:r>
      <w:proofErr w:type="gramEnd"/>
      <w:r w:rsidRPr="000B0868">
        <w:rPr>
          <w:rFonts w:eastAsia="Tw Cen MT" w:cs="Tw Cen MT"/>
          <w:sz w:val="18"/>
          <w:szCs w:val="18"/>
        </w:rPr>
        <w:t xml:space="preserve">Wang, W. (2018). Correlation analysis between pre-anesthesia/post-anesthesia range of motion and knee flexion function after total knee arthroplasty. Journal of Chinese Physician, 20, 324-326. </w:t>
      </w:r>
    </w:p>
    <w:p w14:paraId="7C42F2E3" w14:textId="6CE828E4" w:rsidR="0001499A" w:rsidRPr="0001499A" w:rsidRDefault="0001499A" w:rsidP="0001499A">
      <w:pPr>
        <w:pStyle w:val="a5"/>
        <w:numPr>
          <w:ilvl w:val="0"/>
          <w:numId w:val="3"/>
        </w:numPr>
        <w:tabs>
          <w:tab w:val="left" w:pos="384"/>
        </w:tabs>
        <w:spacing w:before="92" w:line="218" w:lineRule="exact"/>
        <w:ind w:hanging="283"/>
        <w:rPr>
          <w:rFonts w:eastAsia="Tw Cen MT" w:cs="Tw Cen MT"/>
          <w:sz w:val="18"/>
          <w:szCs w:val="18"/>
        </w:rPr>
      </w:pPr>
      <w:r w:rsidRPr="0001499A">
        <w:rPr>
          <w:rFonts w:eastAsia="Tw Cen MT" w:cs="Tw Cen MT"/>
          <w:sz w:val="18"/>
          <w:szCs w:val="18"/>
        </w:rPr>
        <w:t xml:space="preserve">Ren, S., </w:t>
      </w:r>
      <w:proofErr w:type="spellStart"/>
      <w:r w:rsidRPr="0001499A">
        <w:rPr>
          <w:rFonts w:eastAsia="Tw Cen MT" w:cs="Tw Cen MT"/>
          <w:sz w:val="18"/>
          <w:szCs w:val="18"/>
        </w:rPr>
        <w:t>Lv</w:t>
      </w:r>
      <w:proofErr w:type="spellEnd"/>
      <w:r w:rsidRPr="0001499A">
        <w:rPr>
          <w:rFonts w:eastAsia="Tw Cen MT" w:cs="Tw Cen MT"/>
          <w:sz w:val="18"/>
          <w:szCs w:val="18"/>
        </w:rPr>
        <w:t>, L., Ma, J., Li, X</w:t>
      </w:r>
      <w:proofErr w:type="gramStart"/>
      <w:r w:rsidRPr="0001499A">
        <w:rPr>
          <w:rFonts w:eastAsia="Tw Cen MT" w:cs="Tw Cen MT"/>
          <w:sz w:val="18"/>
          <w:szCs w:val="18"/>
        </w:rPr>
        <w:t>., . . .</w:t>
      </w:r>
      <w:proofErr w:type="gramEnd"/>
      <w:r w:rsidRPr="0001499A">
        <w:rPr>
          <w:rFonts w:eastAsia="Tw Cen MT" w:cs="Tw Cen MT"/>
          <w:sz w:val="18"/>
          <w:szCs w:val="18"/>
        </w:rPr>
        <w:t xml:space="preserve"> Dang, X. (2019). Slow-release lubrication effect of graphene oxide/</w:t>
      </w:r>
      <w:proofErr w:type="gramStart"/>
      <w:r w:rsidRPr="0001499A">
        <w:rPr>
          <w:rFonts w:eastAsia="Tw Cen MT" w:cs="Tw Cen MT"/>
          <w:sz w:val="18"/>
          <w:szCs w:val="18"/>
        </w:rPr>
        <w:t>poly(</w:t>
      </w:r>
      <w:proofErr w:type="gramEnd"/>
      <w:r w:rsidRPr="0001499A">
        <w:rPr>
          <w:rFonts w:eastAsia="Tw Cen MT" w:cs="Tw Cen MT"/>
          <w:sz w:val="18"/>
          <w:szCs w:val="18"/>
        </w:rPr>
        <w:t xml:space="preserve">ethylene glycol) wrapped in chitosan/sodium </w:t>
      </w:r>
      <w:proofErr w:type="spellStart"/>
      <w:r w:rsidRPr="0001499A">
        <w:rPr>
          <w:rFonts w:eastAsia="Tw Cen MT" w:cs="Tw Cen MT"/>
          <w:sz w:val="18"/>
          <w:szCs w:val="18"/>
        </w:rPr>
        <w:t>glycerophosphate</w:t>
      </w:r>
      <w:proofErr w:type="spellEnd"/>
      <w:r w:rsidRPr="0001499A">
        <w:rPr>
          <w:rFonts w:eastAsia="Tw Cen MT" w:cs="Tw Cen MT"/>
          <w:sz w:val="18"/>
          <w:szCs w:val="18"/>
        </w:rPr>
        <w:t xml:space="preserve"> hydrogel applied on artificial joints. Mater </w:t>
      </w:r>
      <w:proofErr w:type="spellStart"/>
      <w:r w:rsidRPr="0001499A">
        <w:rPr>
          <w:rFonts w:eastAsia="Tw Cen MT" w:cs="Tw Cen MT"/>
          <w:sz w:val="18"/>
          <w:szCs w:val="18"/>
        </w:rPr>
        <w:t>Sci</w:t>
      </w:r>
      <w:proofErr w:type="spellEnd"/>
      <w:r w:rsidRPr="0001499A">
        <w:rPr>
          <w:rFonts w:eastAsia="Tw Cen MT" w:cs="Tw Cen MT"/>
          <w:sz w:val="18"/>
          <w:szCs w:val="18"/>
        </w:rPr>
        <w:t xml:space="preserve"> </w:t>
      </w:r>
      <w:proofErr w:type="spellStart"/>
      <w:r w:rsidRPr="0001499A">
        <w:rPr>
          <w:rFonts w:eastAsia="Tw Cen MT" w:cs="Tw Cen MT"/>
          <w:sz w:val="18"/>
          <w:szCs w:val="18"/>
        </w:rPr>
        <w:t>Eng</w:t>
      </w:r>
      <w:proofErr w:type="spellEnd"/>
      <w:r w:rsidRPr="0001499A">
        <w:rPr>
          <w:rFonts w:eastAsia="Tw Cen MT" w:cs="Tw Cen MT"/>
          <w:sz w:val="18"/>
          <w:szCs w:val="18"/>
        </w:rPr>
        <w:t xml:space="preserve"> C Mater </w:t>
      </w:r>
      <w:proofErr w:type="spellStart"/>
      <w:r w:rsidRPr="0001499A">
        <w:rPr>
          <w:rFonts w:eastAsia="Tw Cen MT" w:cs="Tw Cen MT"/>
          <w:sz w:val="18"/>
          <w:szCs w:val="18"/>
        </w:rPr>
        <w:t>Biol</w:t>
      </w:r>
      <w:proofErr w:type="spellEnd"/>
      <w:r w:rsidRPr="0001499A">
        <w:rPr>
          <w:rFonts w:eastAsia="Tw Cen MT" w:cs="Tw Cen MT"/>
          <w:sz w:val="18"/>
          <w:szCs w:val="18"/>
        </w:rPr>
        <w:t xml:space="preserve"> </w:t>
      </w:r>
      <w:proofErr w:type="spellStart"/>
      <w:r w:rsidRPr="0001499A">
        <w:rPr>
          <w:rFonts w:eastAsia="Tw Cen MT" w:cs="Tw Cen MT"/>
          <w:sz w:val="18"/>
          <w:szCs w:val="18"/>
        </w:rPr>
        <w:t>Appl</w:t>
      </w:r>
      <w:proofErr w:type="spellEnd"/>
      <w:r w:rsidRPr="0001499A">
        <w:rPr>
          <w:rFonts w:eastAsia="Tw Cen MT" w:cs="Tw Cen MT"/>
          <w:sz w:val="18"/>
          <w:szCs w:val="18"/>
        </w:rPr>
        <w:t xml:space="preserve">, 98, 452-460. </w:t>
      </w:r>
    </w:p>
    <w:p w14:paraId="39CD991C" w14:textId="2175A625" w:rsidR="005973B9" w:rsidRDefault="0001499A" w:rsidP="0001499A">
      <w:pPr>
        <w:pStyle w:val="a5"/>
        <w:numPr>
          <w:ilvl w:val="0"/>
          <w:numId w:val="3"/>
        </w:numPr>
        <w:tabs>
          <w:tab w:val="left" w:pos="384"/>
        </w:tabs>
        <w:spacing w:before="92" w:line="218" w:lineRule="exact"/>
        <w:ind w:hanging="283"/>
        <w:rPr>
          <w:rFonts w:eastAsia="Tw Cen MT" w:cs="Tw Cen MT"/>
          <w:sz w:val="18"/>
          <w:szCs w:val="18"/>
        </w:rPr>
      </w:pPr>
      <w:r w:rsidRPr="0001499A">
        <w:rPr>
          <w:rFonts w:eastAsia="Tw Cen MT" w:cs="Tw Cen MT"/>
          <w:sz w:val="18"/>
          <w:szCs w:val="18"/>
        </w:rPr>
        <w:t xml:space="preserve">Jiang, W., Yu, Y., Liu, J., Zhang, J., &amp; Dang, X. (2019). Downregulation of Cdc6 inhibits tumorigenesis of osteosarcoma in vivo and in vitro. Biomed </w:t>
      </w:r>
      <w:proofErr w:type="spellStart"/>
      <w:r w:rsidRPr="0001499A">
        <w:rPr>
          <w:rFonts w:eastAsia="Tw Cen MT" w:cs="Tw Cen MT"/>
          <w:sz w:val="18"/>
          <w:szCs w:val="18"/>
        </w:rPr>
        <w:t>Pharmacother</w:t>
      </w:r>
      <w:proofErr w:type="spellEnd"/>
      <w:r w:rsidRPr="0001499A">
        <w:rPr>
          <w:rFonts w:eastAsia="Tw Cen MT" w:cs="Tw Cen MT"/>
          <w:sz w:val="18"/>
          <w:szCs w:val="18"/>
        </w:rPr>
        <w:t>, 115, 108949.</w:t>
      </w:r>
    </w:p>
    <w:p w14:paraId="39CD991D" w14:textId="0B652C5F" w:rsidR="00AE3E37" w:rsidRPr="0001499A" w:rsidRDefault="0001499A" w:rsidP="0001499A">
      <w:pPr>
        <w:pStyle w:val="a5"/>
        <w:numPr>
          <w:ilvl w:val="0"/>
          <w:numId w:val="3"/>
        </w:numPr>
        <w:tabs>
          <w:tab w:val="left" w:pos="384"/>
        </w:tabs>
        <w:spacing w:before="92" w:line="218" w:lineRule="exact"/>
        <w:ind w:hanging="283"/>
        <w:rPr>
          <w:rFonts w:eastAsia="Tw Cen MT" w:cs="Tw Cen MT"/>
          <w:sz w:val="18"/>
          <w:szCs w:val="18"/>
        </w:rPr>
      </w:pPr>
      <w:r w:rsidRPr="0001499A">
        <w:rPr>
          <w:rFonts w:eastAsia="Tw Cen MT" w:cs="Tw Cen MT"/>
          <w:sz w:val="18"/>
          <w:szCs w:val="18"/>
        </w:rPr>
        <w:t>Ni, J., Li, D., Mao, M., Dang, X.</w:t>
      </w:r>
      <w:proofErr w:type="gramStart"/>
      <w:r w:rsidRPr="0001499A">
        <w:rPr>
          <w:rFonts w:eastAsia="Tw Cen MT" w:cs="Tw Cen MT"/>
          <w:sz w:val="18"/>
          <w:szCs w:val="18"/>
        </w:rPr>
        <w:t xml:space="preserve">, </w:t>
      </w:r>
      <w:r w:rsidR="00771E62">
        <w:rPr>
          <w:rFonts w:eastAsia="Tw Cen MT" w:cs="Tw Cen MT"/>
          <w:sz w:val="18"/>
          <w:szCs w:val="18"/>
        </w:rPr>
        <w:t>..</w:t>
      </w:r>
      <w:proofErr w:type="gramEnd"/>
      <w:r w:rsidRPr="0001499A">
        <w:rPr>
          <w:rFonts w:eastAsia="Tw Cen MT" w:cs="Tw Cen MT"/>
          <w:sz w:val="18"/>
          <w:szCs w:val="18"/>
        </w:rPr>
        <w:t xml:space="preserve">Shi, Z. (2018). A Method of Accurate Bone Tunnel Placement for Anterior Cruciate Ligament Reconstruction Based on 3-Dimensional Printing Technology: A Cadaveric Study. </w:t>
      </w:r>
      <w:r w:rsidRPr="00F140A5">
        <w:rPr>
          <w:rFonts w:eastAsia="Tw Cen MT" w:cs="Tw Cen MT"/>
          <w:sz w:val="18"/>
          <w:szCs w:val="18"/>
        </w:rPr>
        <w:t>Arthroscopy, 34</w:t>
      </w:r>
      <w:r w:rsidRPr="0001499A">
        <w:rPr>
          <w:rFonts w:eastAsia="Tw Cen MT" w:cs="Tw Cen MT"/>
          <w:sz w:val="18"/>
          <w:szCs w:val="18"/>
        </w:rPr>
        <w:t>(2), 546-556.</w:t>
      </w:r>
    </w:p>
    <w:p w14:paraId="39CD991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9CD991F" w14:textId="77777777"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39CD9920" w14:textId="77777777"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9CD992D" wp14:editId="39CD992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D88F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9CD9921" w14:textId="77777777" w:rsidR="00AE3E37" w:rsidRDefault="008756E6" w:rsidP="00404E5B">
      <w:pPr>
        <w:spacing w:before="92"/>
        <w:ind w:right="4234"/>
        <w:rPr>
          <w:rFonts w:ascii="Arial"/>
        </w:rPr>
      </w:pPr>
      <w:r>
        <w:rPr>
          <w:noProof/>
        </w:rPr>
        <w:t xml:space="preserve">              </w:t>
      </w:r>
      <w:r>
        <w:rPr>
          <w:noProof/>
          <w:lang w:eastAsia="zh-CN"/>
        </w:rPr>
        <w:drawing>
          <wp:inline distT="0" distB="0" distL="0" distR="0" wp14:anchorId="39CD992F" wp14:editId="7EB38A6B">
            <wp:extent cx="468801" cy="625069"/>
            <wp:effectExtent l="0" t="0" r="762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880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201F7F8" w14:textId="25999E61" w:rsidR="008565DC" w:rsidRPr="00CF53D6" w:rsidRDefault="008565DC" w:rsidP="008565DC">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w:t>
      </w:r>
      <w:r w:rsidRPr="00CF53D6">
        <w:rPr>
          <w:rFonts w:ascii="Arial"/>
          <w:sz w:val="14"/>
        </w:rPr>
        <w:t xml:space="preserve">Jidong Song, MD, the department of </w:t>
      </w:r>
      <w:proofErr w:type="spellStart"/>
      <w:r w:rsidRPr="00CF53D6">
        <w:rPr>
          <w:rFonts w:ascii="Arial"/>
          <w:sz w:val="14"/>
        </w:rPr>
        <w:t>orthopaedics</w:t>
      </w:r>
      <w:proofErr w:type="spellEnd"/>
      <w:r w:rsidRPr="00CF53D6">
        <w:rPr>
          <w:rFonts w:ascii="Arial"/>
          <w:sz w:val="14"/>
        </w:rPr>
        <w:t xml:space="preserve"> in the second affiliated hospital of Xi</w:t>
      </w:r>
      <w:r w:rsidRPr="00CF53D6">
        <w:rPr>
          <w:rFonts w:ascii="Arial"/>
          <w:sz w:val="14"/>
        </w:rPr>
        <w:t>’</w:t>
      </w:r>
      <w:r>
        <w:rPr>
          <w:rFonts w:ascii="Arial"/>
          <w:sz w:val="14"/>
        </w:rPr>
        <w:t xml:space="preserve">an </w:t>
      </w:r>
      <w:proofErr w:type="spellStart"/>
      <w:r w:rsidRPr="00CF53D6">
        <w:rPr>
          <w:rFonts w:ascii="Arial"/>
          <w:sz w:val="14"/>
        </w:rPr>
        <w:t>Jiaotong</w:t>
      </w:r>
      <w:proofErr w:type="spellEnd"/>
      <w:r w:rsidRPr="00CF53D6">
        <w:rPr>
          <w:rFonts w:ascii="Arial"/>
          <w:sz w:val="14"/>
        </w:rPr>
        <w:t xml:space="preserve"> University. The department made an in-depth study in the pathogenesis of femoral head necrosis and creatively carried out the reconstruction of the joint function of </w:t>
      </w:r>
      <w:proofErr w:type="spellStart"/>
      <w:r w:rsidRPr="00CF53D6">
        <w:rPr>
          <w:rFonts w:ascii="Arial"/>
          <w:sz w:val="14"/>
        </w:rPr>
        <w:t>Kashin</w:t>
      </w:r>
      <w:proofErr w:type="spellEnd"/>
      <w:r w:rsidRPr="00CF53D6">
        <w:rPr>
          <w:rFonts w:ascii="Arial"/>
          <w:sz w:val="14"/>
        </w:rPr>
        <w:t xml:space="preserve">-Beck disease. In China, we first performed the anastomotic vascular fibular grafting for the treatment of femoral head necrosis and femoral neck fracture. We are interested in the pathogenesis of femoral head necrosis and </w:t>
      </w:r>
      <w:r>
        <w:rPr>
          <w:rFonts w:ascii="Arial"/>
          <w:sz w:val="14"/>
        </w:rPr>
        <w:t>metabolic bone disease.</w:t>
      </w:r>
    </w:p>
    <w:p w14:paraId="39CD9922" w14:textId="40B10462" w:rsidR="00AE3E37" w:rsidRDefault="00A9710C">
      <w:pPr>
        <w:spacing w:before="41" w:line="154" w:lineRule="exact"/>
        <w:ind w:left="213" w:right="231"/>
        <w:jc w:val="both"/>
        <w:rPr>
          <w:rFonts w:ascii="Arial"/>
          <w:sz w:val="14"/>
        </w:rPr>
      </w:pPr>
      <w:r>
        <w:rPr>
          <w:rFonts w:ascii="Arial"/>
          <w:sz w:val="14"/>
        </w:rPr>
        <w:t>.</w:t>
      </w:r>
    </w:p>
    <w:p w14:paraId="39CD9927" w14:textId="2B5AC7F1" w:rsidR="00AE3E37" w:rsidRPr="00F140A5" w:rsidRDefault="00A9710C" w:rsidP="00F140A5">
      <w:pPr>
        <w:spacing w:before="62"/>
        <w:ind w:left="4217" w:right="4235"/>
        <w:jc w:val="center"/>
        <w:rPr>
          <w:rFonts w:ascii="Arial"/>
          <w:sz w:val="19"/>
        </w:rPr>
      </w:pPr>
      <w:r>
        <w:rPr>
          <w:rFonts w:ascii="Arial"/>
          <w:sz w:val="14"/>
        </w:rPr>
        <w:t xml:space="preserve">Email: </w:t>
      </w:r>
      <w:hyperlink r:id="rId11" w:history="1">
        <w:r w:rsidR="00AE2190" w:rsidRPr="005E080E">
          <w:rPr>
            <w:rStyle w:val="ac"/>
            <w:rFonts w:ascii="Arial"/>
            <w:sz w:val="14"/>
          </w:rPr>
          <w:t>sjidong12@stu.xjtu.edu.cn</w:t>
        </w:r>
      </w:hyperlink>
      <w:r w:rsidR="00292ED9">
        <w:rPr>
          <w:noProof/>
          <w:lang w:eastAsia="zh-CN"/>
        </w:rPr>
        <mc:AlternateContent>
          <mc:Choice Requires="wps">
            <w:drawing>
              <wp:anchor distT="0" distB="0" distL="0" distR="0" simplePos="0" relativeHeight="1072" behindDoc="0" locked="0" layoutInCell="1" allowOverlap="1" wp14:anchorId="39CD9931" wp14:editId="39CD993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80DB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9CD9929" w14:textId="0F004CE2" w:rsidR="00AE3E37" w:rsidRPr="00075CD5" w:rsidRDefault="00771E62" w:rsidP="00075CD5">
      <w:pPr>
        <w:spacing w:before="39"/>
        <w:ind w:left="100"/>
        <w:rPr>
          <w:rFonts w:ascii="Minion Pro"/>
          <w:b/>
          <w:sz w:val="20"/>
        </w:rPr>
        <w:sectPr w:rsidR="00AE3E37" w:rsidRPr="00075CD5">
          <w:type w:val="continuous"/>
          <w:pgSz w:w="11910" w:h="16840"/>
          <w:pgMar w:top="1740" w:right="600" w:bottom="840" w:left="620" w:header="720" w:footer="720" w:gutter="0"/>
          <w:cols w:space="720"/>
        </w:sectPr>
      </w:pPr>
      <w:r>
        <w:rPr>
          <w:rFonts w:ascii="Minion Pro"/>
          <w:b/>
          <w:sz w:val="20"/>
        </w:rPr>
        <w:t>Notes/Comment</w:t>
      </w:r>
    </w:p>
    <w:p w14:paraId="39CD992A" w14:textId="77777777" w:rsidR="00AE3E37" w:rsidRDefault="00AE3E37" w:rsidP="00771E62">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4974A" w14:textId="77777777" w:rsidR="000D1A7E" w:rsidRDefault="000D1A7E">
      <w:r>
        <w:separator/>
      </w:r>
    </w:p>
  </w:endnote>
  <w:endnote w:type="continuationSeparator" w:id="0">
    <w:p w14:paraId="4DB57870" w14:textId="77777777" w:rsidR="000D1A7E" w:rsidRDefault="000D1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9938"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39CD993D" wp14:editId="39CD99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D99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CD994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D993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9CD994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CD994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39CD993F" wp14:editId="39CD994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D99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CD99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D993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9CD99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CD99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39CD9941" wp14:editId="39CD994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D99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CD994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D994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9CD99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CD994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09A7" w14:textId="77777777" w:rsidR="000D1A7E" w:rsidRDefault="000D1A7E">
      <w:r>
        <w:separator/>
      </w:r>
    </w:p>
  </w:footnote>
  <w:footnote w:type="continuationSeparator" w:id="0">
    <w:p w14:paraId="518A5C6B" w14:textId="77777777" w:rsidR="000D1A7E" w:rsidRDefault="000D1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9937"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39CD9939" wp14:editId="39CD993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D994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D993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9CD994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39CD993B" wp14:editId="39CD99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D9944"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CD994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D993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9CD9944"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CD994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499A"/>
    <w:rsid w:val="00075CD5"/>
    <w:rsid w:val="000B0868"/>
    <w:rsid w:val="000D1A7E"/>
    <w:rsid w:val="000E2911"/>
    <w:rsid w:val="001263DF"/>
    <w:rsid w:val="001C63B6"/>
    <w:rsid w:val="001E763C"/>
    <w:rsid w:val="001F5CB2"/>
    <w:rsid w:val="001F5D2D"/>
    <w:rsid w:val="00292ED9"/>
    <w:rsid w:val="002E149D"/>
    <w:rsid w:val="00314AFB"/>
    <w:rsid w:val="003B76D9"/>
    <w:rsid w:val="00404E5B"/>
    <w:rsid w:val="00414F7B"/>
    <w:rsid w:val="00427061"/>
    <w:rsid w:val="004355DC"/>
    <w:rsid w:val="00446223"/>
    <w:rsid w:val="004749B4"/>
    <w:rsid w:val="00494130"/>
    <w:rsid w:val="004C4CA3"/>
    <w:rsid w:val="004F3523"/>
    <w:rsid w:val="005973B9"/>
    <w:rsid w:val="005A2504"/>
    <w:rsid w:val="005B3A56"/>
    <w:rsid w:val="006060CE"/>
    <w:rsid w:val="0063497F"/>
    <w:rsid w:val="006F01A4"/>
    <w:rsid w:val="007331A8"/>
    <w:rsid w:val="00771E62"/>
    <w:rsid w:val="0078738A"/>
    <w:rsid w:val="008565DC"/>
    <w:rsid w:val="008634D8"/>
    <w:rsid w:val="00873DF0"/>
    <w:rsid w:val="008756E6"/>
    <w:rsid w:val="009B2D44"/>
    <w:rsid w:val="00A07E82"/>
    <w:rsid w:val="00A25A3F"/>
    <w:rsid w:val="00A9710C"/>
    <w:rsid w:val="00AE2190"/>
    <w:rsid w:val="00AE3E37"/>
    <w:rsid w:val="00B21A57"/>
    <w:rsid w:val="00C33602"/>
    <w:rsid w:val="00CD6F55"/>
    <w:rsid w:val="00D62425"/>
    <w:rsid w:val="00DC6CED"/>
    <w:rsid w:val="00DE3104"/>
    <w:rsid w:val="00ED31D9"/>
    <w:rsid w:val="00F140A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CD990C"/>
  <w15:docId w15:val="{858AA132-3396-734B-89E3-49F93A988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styleId="ad">
    <w:name w:val="Title"/>
    <w:basedOn w:val="a"/>
    <w:next w:val="a"/>
    <w:link w:val="ae"/>
    <w:uiPriority w:val="10"/>
    <w:qFormat/>
    <w:rsid w:val="00427061"/>
    <w:pPr>
      <w:spacing w:before="240" w:after="60"/>
      <w:jc w:val="center"/>
      <w:outlineLvl w:val="0"/>
    </w:pPr>
    <w:rPr>
      <w:rFonts w:asciiTheme="majorHAnsi" w:eastAsiaTheme="majorEastAsia" w:hAnsiTheme="majorHAnsi" w:cstheme="majorBidi"/>
      <w:b/>
      <w:bCs/>
      <w:kern w:val="2"/>
      <w:sz w:val="32"/>
      <w:szCs w:val="32"/>
      <w:lang w:eastAsia="zh-CN"/>
    </w:rPr>
  </w:style>
  <w:style w:type="character" w:customStyle="1" w:styleId="ae">
    <w:name w:val="标题 字符"/>
    <w:basedOn w:val="a0"/>
    <w:link w:val="ad"/>
    <w:uiPriority w:val="10"/>
    <w:rsid w:val="00427061"/>
    <w:rPr>
      <w:rFonts w:asciiTheme="majorHAnsi" w:eastAsiaTheme="majorEastAsia" w:hAnsiTheme="majorHAnsi" w:cstheme="majorBidi"/>
      <w:b/>
      <w:bCs/>
      <w:kern w:val="2"/>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jidong12@stu.xjtu.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E7B20F3-F018-4111-967B-69AD115D4F05}">
  <we:reference id="4f5fc3d5-136b-4c76-b40a-6b26653cd4f1" version="1.2.0.0" store="EnglishAssistanceProvid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79</TotalTime>
  <Pages>1</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Song Jidong</cp:lastModifiedBy>
  <cp:revision>14</cp:revision>
  <dcterms:created xsi:type="dcterms:W3CDTF">2019-10-08T14:32:00Z</dcterms:created>
  <dcterms:modified xsi:type="dcterms:W3CDTF">2019-10-09T02:45:00Z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