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E53" w:rsidRPr="00DA7E53" w:rsidRDefault="00DA7E53" w:rsidP="00DA7E53">
      <w:pPr>
        <w:rPr>
          <w:rFonts w:ascii="Times New Roman" w:eastAsia="Calibri" w:hAnsi="Times New Roman" w:cs="Times New Roman"/>
          <w:b/>
          <w:sz w:val="28"/>
          <w:szCs w:val="28"/>
        </w:rPr>
      </w:pPr>
      <w:r>
        <w:rPr>
          <w:rFonts w:ascii="Times New Roman" w:eastAsia="Calibri" w:hAnsi="Times New Roman" w:cs="Times New Roman"/>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2647950</wp:posOffset>
                </wp:positionH>
                <wp:positionV relativeFrom="paragraph">
                  <wp:posOffset>392430</wp:posOffset>
                </wp:positionV>
                <wp:extent cx="545465" cy="422910"/>
                <wp:effectExtent l="0" t="1905"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422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7E53" w:rsidRDefault="00DA7E53" w:rsidP="00DA7E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08.5pt;margin-top:30.9pt;width:42.95pt;height:3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" stroked="f">
                <v:textbox>
                  <w:txbxContent>
                    <w:p w:rsidR="00DA7E53" w:rsidRDefault="00DA7E53" w:rsidP="00DA7E53"/>
                  </w:txbxContent>
                </v:textbox>
              </v:shape>
            </w:pict>
          </mc:Fallback>
        </mc:AlternateContent>
      </w:r>
      <w:r w:rsidRPr="00DA7E53">
        <w:rPr>
          <w:rFonts w:ascii="Times New Roman" w:eastAsia="Calibri" w:hAnsi="Times New Roman" w:cs="Times New Roman"/>
          <w:b/>
          <w:sz w:val="28"/>
          <w:szCs w:val="28"/>
        </w:rPr>
        <w:t xml:space="preserve">EFFECT OF APHANIZOMENON FLOS – AQUAE (AFA) ON ENDOGENOUS MESENCHYMAL STEM CELL PROLIFERATION IN       AFRICAN ADULT DONKEYS. </w:t>
      </w:r>
    </w:p>
    <w:p w:rsidR="00DA7E53" w:rsidRPr="00DA7E53" w:rsidRDefault="00DA7E53" w:rsidP="00DA7E53">
      <w:pPr>
        <w:rPr>
          <w:rFonts w:ascii="Calibri" w:eastAsia="Calibri" w:hAnsi="Calibri" w:cs="Times New Roman"/>
          <w:b/>
          <w:sz w:val="24"/>
          <w:szCs w:val="24"/>
        </w:rPr>
      </w:pPr>
    </w:p>
    <w:p w:rsidR="00DA7E53" w:rsidRPr="00DA7E53" w:rsidRDefault="00DA7E53" w:rsidP="00DA7E53">
      <w:pPr>
        <w:spacing w:line="240" w:lineRule="auto"/>
        <w:rPr>
          <w:rFonts w:ascii="Times New Roman" w:eastAsia="Calibri" w:hAnsi="Times New Roman" w:cs="Times New Roman"/>
          <w:b/>
          <w:sz w:val="28"/>
          <w:szCs w:val="28"/>
          <w:vertAlign w:val="superscript"/>
        </w:rPr>
      </w:pPr>
      <w:r w:rsidRPr="00DA7E53">
        <w:rPr>
          <w:rFonts w:ascii="Times New Roman" w:eastAsia="Calibri" w:hAnsi="Times New Roman" w:cs="Times New Roman"/>
          <w:b/>
          <w:sz w:val="28"/>
          <w:szCs w:val="28"/>
        </w:rPr>
        <w:t>Ochube G.E.</w:t>
      </w:r>
      <w:r w:rsidRPr="00DA7E53">
        <w:rPr>
          <w:rFonts w:ascii="Times New Roman" w:eastAsia="Calibri" w:hAnsi="Times New Roman" w:cs="Times New Roman"/>
          <w:b/>
          <w:sz w:val="28"/>
          <w:szCs w:val="28"/>
          <w:vertAlign w:val="superscript"/>
        </w:rPr>
        <w:t>1*</w:t>
      </w:r>
      <w:r w:rsidRPr="00DA7E53">
        <w:rPr>
          <w:rFonts w:ascii="Times New Roman" w:eastAsia="Calibri" w:hAnsi="Times New Roman" w:cs="Times New Roman"/>
          <w:b/>
          <w:sz w:val="28"/>
          <w:szCs w:val="28"/>
        </w:rPr>
        <w:t>, Hassan A.Z</w:t>
      </w:r>
      <w:r w:rsidRPr="00DA7E53">
        <w:rPr>
          <w:rFonts w:ascii="Times New Roman" w:eastAsia="Calibri" w:hAnsi="Times New Roman" w:cs="Times New Roman"/>
          <w:b/>
          <w:sz w:val="28"/>
          <w:szCs w:val="28"/>
          <w:vertAlign w:val="superscript"/>
        </w:rPr>
        <w:t>1</w:t>
      </w:r>
      <w:r w:rsidRPr="00DA7E53">
        <w:rPr>
          <w:rFonts w:ascii="Times New Roman" w:eastAsia="Calibri" w:hAnsi="Times New Roman" w:cs="Times New Roman"/>
          <w:b/>
          <w:sz w:val="28"/>
          <w:szCs w:val="28"/>
        </w:rPr>
        <w:t>, Kudi C.A</w:t>
      </w:r>
      <w:r w:rsidRPr="00DA7E53">
        <w:rPr>
          <w:rFonts w:ascii="Times New Roman" w:eastAsia="Calibri" w:hAnsi="Times New Roman" w:cs="Times New Roman"/>
          <w:b/>
          <w:sz w:val="28"/>
          <w:szCs w:val="28"/>
          <w:vertAlign w:val="superscript"/>
        </w:rPr>
        <w:t>2</w:t>
      </w:r>
      <w:r w:rsidRPr="00DA7E53">
        <w:rPr>
          <w:rFonts w:ascii="Times New Roman" w:eastAsia="Calibri" w:hAnsi="Times New Roman" w:cs="Times New Roman"/>
          <w:b/>
          <w:sz w:val="28"/>
          <w:szCs w:val="28"/>
        </w:rPr>
        <w:t>. and Fadason S.T</w:t>
      </w:r>
      <w:r w:rsidRPr="00DA7E53">
        <w:rPr>
          <w:rFonts w:ascii="Times New Roman" w:eastAsia="Calibri" w:hAnsi="Times New Roman" w:cs="Times New Roman"/>
          <w:b/>
          <w:sz w:val="28"/>
          <w:szCs w:val="28"/>
          <w:vertAlign w:val="superscript"/>
        </w:rPr>
        <w:t xml:space="preserve">1  </w:t>
      </w:r>
    </w:p>
    <w:p w:rsidR="00DA7E53" w:rsidRPr="00DA7E53" w:rsidRDefault="00DA7E53" w:rsidP="00DA7E53">
      <w:pPr>
        <w:spacing w:line="240" w:lineRule="auto"/>
        <w:rPr>
          <w:rFonts w:ascii="Times New Roman" w:eastAsia="Calibri" w:hAnsi="Times New Roman" w:cs="Times New Roman"/>
          <w:b/>
          <w:sz w:val="28"/>
          <w:szCs w:val="28"/>
        </w:rPr>
      </w:pPr>
      <w:r w:rsidRPr="00DA7E53">
        <w:rPr>
          <w:rFonts w:ascii="Times New Roman" w:eastAsia="Calibri" w:hAnsi="Times New Roman" w:cs="Times New Roman"/>
          <w:b/>
          <w:sz w:val="28"/>
          <w:szCs w:val="28"/>
          <w:vertAlign w:val="superscript"/>
        </w:rPr>
        <w:t>1</w:t>
      </w:r>
      <w:r w:rsidRPr="00DA7E53">
        <w:rPr>
          <w:rFonts w:ascii="Times New Roman" w:eastAsia="Calibri" w:hAnsi="Times New Roman" w:cs="Times New Roman"/>
          <w:b/>
          <w:sz w:val="28"/>
          <w:szCs w:val="28"/>
        </w:rPr>
        <w:t xml:space="preserve"> Department of Veterinary Surgery and Radiology, Ahmadu Bello University, Zaria, Nigeria.</w:t>
      </w:r>
    </w:p>
    <w:p w:rsidR="00DA7E53" w:rsidRPr="00DA7E53" w:rsidRDefault="007A52B5" w:rsidP="00DA7E53">
      <w:pPr>
        <w:spacing w:line="240" w:lineRule="auto"/>
        <w:rPr>
          <w:rFonts w:ascii="Times New Roman" w:eastAsia="Calibri" w:hAnsi="Times New Roman" w:cs="Times New Roman"/>
          <w:b/>
          <w:sz w:val="28"/>
          <w:szCs w:val="28"/>
        </w:rPr>
      </w:pPr>
      <w:r w:rsidRPr="00DA7E53">
        <w:rPr>
          <w:rFonts w:ascii="Times New Roman" w:eastAsia="Calibri" w:hAnsi="Times New Roman" w:cs="Times New Roman"/>
          <w:b/>
          <w:sz w:val="28"/>
          <w:szCs w:val="28"/>
          <w:vertAlign w:val="superscript"/>
        </w:rPr>
        <w:t xml:space="preserve">2 </w:t>
      </w:r>
      <w:r w:rsidRPr="00DA7E53">
        <w:rPr>
          <w:rFonts w:ascii="Times New Roman" w:eastAsia="Calibri" w:hAnsi="Times New Roman" w:cs="Times New Roman"/>
          <w:b/>
          <w:sz w:val="28"/>
          <w:szCs w:val="28"/>
        </w:rPr>
        <w:t>Department</w:t>
      </w:r>
      <w:r w:rsidR="00DA7E53" w:rsidRPr="00DA7E53">
        <w:rPr>
          <w:rFonts w:ascii="Times New Roman" w:eastAsia="Calibri" w:hAnsi="Times New Roman" w:cs="Times New Roman"/>
          <w:b/>
          <w:sz w:val="28"/>
          <w:szCs w:val="28"/>
        </w:rPr>
        <w:t xml:space="preserve"> of Veterinary Medicine, Ahmadu Bello University, Zaria, Nigeria.</w:t>
      </w:r>
    </w:p>
    <w:p w:rsidR="00DA7E53" w:rsidRPr="00DA7E53" w:rsidRDefault="00DA7E53" w:rsidP="00DA7E53">
      <w:pPr>
        <w:rPr>
          <w:rFonts w:ascii="Calibri" w:eastAsia="Calibri" w:hAnsi="Calibri" w:cs="Times New Roman"/>
          <w:b/>
          <w:sz w:val="24"/>
          <w:szCs w:val="24"/>
        </w:rPr>
      </w:pPr>
      <w:r w:rsidRPr="00DA7E53">
        <w:rPr>
          <w:rFonts w:ascii="Times New Roman" w:eastAsia="Calibri" w:hAnsi="Times New Roman" w:cs="Times New Roman"/>
          <w:b/>
          <w:sz w:val="28"/>
          <w:szCs w:val="28"/>
        </w:rPr>
        <w:t>Correspondence; gabrielochube2000@gmail.com</w:t>
      </w:r>
    </w:p>
    <w:p w:rsidR="00DA7E53" w:rsidRPr="00DA7E53" w:rsidRDefault="00DA7E53" w:rsidP="00DA7E53">
      <w:pPr>
        <w:rPr>
          <w:rFonts w:ascii="Calibri" w:eastAsia="Calibri" w:hAnsi="Calibri" w:cs="Times New Roman"/>
          <w:b/>
          <w:sz w:val="24"/>
          <w:szCs w:val="24"/>
        </w:rPr>
      </w:pPr>
      <w:r w:rsidRPr="00DA7E53">
        <w:rPr>
          <w:rFonts w:ascii="Calibri" w:eastAsia="Calibri" w:hAnsi="Calibri" w:cs="Times New Roman"/>
          <w:b/>
          <w:sz w:val="24"/>
          <w:szCs w:val="24"/>
        </w:rPr>
        <w:t>ABSTRACT</w:t>
      </w:r>
    </w:p>
    <w:p w:rsidR="00DA7E53" w:rsidRPr="00DA7E53" w:rsidRDefault="00DA7E53" w:rsidP="00DA7E53">
      <w:pPr>
        <w:spacing w:after="120" w:line="360" w:lineRule="auto"/>
        <w:jc w:val="both"/>
        <w:rPr>
          <w:rFonts w:ascii="Times New Roman" w:eastAsia="Calibri" w:hAnsi="Times New Roman" w:cs="Times New Roman"/>
          <w:sz w:val="24"/>
          <w:szCs w:val="24"/>
        </w:rPr>
      </w:pPr>
      <w:r w:rsidRPr="00DA7E53">
        <w:rPr>
          <w:rFonts w:ascii="Times New Roman" w:eastAsia="Calibri" w:hAnsi="Times New Roman" w:cs="Times New Roman"/>
          <w:sz w:val="24"/>
          <w:szCs w:val="24"/>
        </w:rPr>
        <w:t xml:space="preserve">The aim of this study which lasted sixteen weeks was to study the effect of feeding </w:t>
      </w:r>
      <w:r w:rsidRPr="00DA7E53">
        <w:rPr>
          <w:rFonts w:ascii="Times New Roman" w:eastAsia="Calibri" w:hAnsi="Times New Roman" w:cs="Times New Roman"/>
          <w:i/>
          <w:iCs/>
          <w:sz w:val="24"/>
          <w:szCs w:val="24"/>
        </w:rPr>
        <w:t>Aphanizomenon</w:t>
      </w:r>
      <w:r w:rsidRPr="00DA7E53">
        <w:rPr>
          <w:rFonts w:ascii="Times New Roman" w:eastAsia="Calibri" w:hAnsi="Times New Roman" w:cs="Times New Roman"/>
          <w:sz w:val="24"/>
          <w:szCs w:val="24"/>
        </w:rPr>
        <w:t xml:space="preserve"> </w:t>
      </w:r>
      <w:r w:rsidRPr="00DA7E53">
        <w:rPr>
          <w:rFonts w:ascii="Times New Roman" w:eastAsia="Calibri" w:hAnsi="Times New Roman" w:cs="Times New Roman"/>
          <w:i/>
          <w:iCs/>
          <w:sz w:val="24"/>
          <w:szCs w:val="24"/>
        </w:rPr>
        <w:t>flos-aquae</w:t>
      </w:r>
      <w:r w:rsidRPr="00DA7E53">
        <w:rPr>
          <w:rFonts w:ascii="Times New Roman" w:eastAsia="Calibri" w:hAnsi="Times New Roman" w:cs="Times New Roman"/>
          <w:sz w:val="24"/>
          <w:szCs w:val="24"/>
        </w:rPr>
        <w:t xml:space="preserve"> (AFA)(Stem enhance®) on stem cell proliferation &amp; haematologic parameters in fractured African adult donkeys. Nine donkeys with clinical cases of mid shaft open metacarpal and mid shaft open metatarsal fractures were used for this experiment. Animals were divided into groups A and B. Group A comprised 6 donkeys was</w:t>
      </w:r>
      <w:r w:rsidRPr="00DA7E53">
        <w:rPr>
          <w:rFonts w:ascii="Times New Roman" w:eastAsia="Calibri" w:hAnsi="Times New Roman" w:cs="Times New Roman"/>
          <w:i/>
          <w:sz w:val="24"/>
          <w:szCs w:val="24"/>
        </w:rPr>
        <w:t xml:space="preserve"> </w:t>
      </w:r>
      <w:r w:rsidRPr="00DA7E53">
        <w:rPr>
          <w:rFonts w:ascii="Times New Roman" w:eastAsia="Calibri" w:hAnsi="Times New Roman" w:cs="Times New Roman"/>
          <w:sz w:val="24"/>
          <w:szCs w:val="24"/>
        </w:rPr>
        <w:t>further divided into A</w:t>
      </w:r>
      <w:r w:rsidRPr="00DA7E53">
        <w:rPr>
          <w:rFonts w:ascii="Times New Roman" w:eastAsia="Calibri" w:hAnsi="Times New Roman" w:cs="Times New Roman"/>
          <w:sz w:val="24"/>
          <w:szCs w:val="24"/>
          <w:vertAlign w:val="subscript"/>
        </w:rPr>
        <w:t xml:space="preserve">1 </w:t>
      </w:r>
      <w:r w:rsidRPr="00DA7E53">
        <w:rPr>
          <w:rFonts w:ascii="Times New Roman" w:eastAsia="Calibri" w:hAnsi="Times New Roman" w:cs="Times New Roman"/>
          <w:sz w:val="24"/>
          <w:szCs w:val="24"/>
        </w:rPr>
        <w:t>and A</w:t>
      </w:r>
      <w:r w:rsidRPr="00DA7E53">
        <w:rPr>
          <w:rFonts w:ascii="Times New Roman" w:eastAsia="Calibri" w:hAnsi="Times New Roman" w:cs="Times New Roman"/>
          <w:sz w:val="24"/>
          <w:szCs w:val="24"/>
          <w:vertAlign w:val="subscript"/>
        </w:rPr>
        <w:t xml:space="preserve">2. </w:t>
      </w:r>
      <w:r w:rsidRPr="00DA7E53">
        <w:rPr>
          <w:rFonts w:ascii="Times New Roman" w:eastAsia="Calibri" w:hAnsi="Times New Roman" w:cs="Times New Roman"/>
          <w:sz w:val="24"/>
          <w:szCs w:val="24"/>
        </w:rPr>
        <w:t xml:space="preserve">  A</w:t>
      </w:r>
      <w:r w:rsidRPr="00DA7E53">
        <w:rPr>
          <w:rFonts w:ascii="Times New Roman" w:eastAsia="Calibri" w:hAnsi="Times New Roman" w:cs="Times New Roman"/>
          <w:sz w:val="24"/>
          <w:szCs w:val="24"/>
          <w:vertAlign w:val="subscript"/>
        </w:rPr>
        <w:t xml:space="preserve">1 </w:t>
      </w:r>
      <w:r w:rsidRPr="00DA7E53">
        <w:rPr>
          <w:rFonts w:ascii="Times New Roman" w:eastAsia="Calibri" w:hAnsi="Times New Roman" w:cs="Times New Roman"/>
          <w:sz w:val="24"/>
          <w:szCs w:val="24"/>
        </w:rPr>
        <w:t>comprised A</w:t>
      </w:r>
      <w:r w:rsidRPr="00DA7E53">
        <w:rPr>
          <w:rFonts w:ascii="Times New Roman" w:eastAsia="Calibri" w:hAnsi="Times New Roman" w:cs="Times New Roman"/>
          <w:sz w:val="24"/>
          <w:szCs w:val="24"/>
          <w:vertAlign w:val="subscript"/>
        </w:rPr>
        <w:t xml:space="preserve">1a, </w:t>
      </w:r>
      <w:r w:rsidRPr="00DA7E53">
        <w:rPr>
          <w:rFonts w:ascii="Times New Roman" w:eastAsia="Calibri" w:hAnsi="Times New Roman" w:cs="Times New Roman"/>
          <w:sz w:val="24"/>
          <w:szCs w:val="24"/>
        </w:rPr>
        <w:t>A</w:t>
      </w:r>
      <w:r w:rsidRPr="00DA7E53">
        <w:rPr>
          <w:rFonts w:ascii="Times New Roman" w:eastAsia="Calibri" w:hAnsi="Times New Roman" w:cs="Times New Roman"/>
          <w:sz w:val="24"/>
          <w:szCs w:val="24"/>
          <w:vertAlign w:val="subscript"/>
        </w:rPr>
        <w:t xml:space="preserve">1b </w:t>
      </w:r>
      <w:r w:rsidRPr="00DA7E53">
        <w:rPr>
          <w:rFonts w:ascii="Times New Roman" w:eastAsia="Calibri" w:hAnsi="Times New Roman" w:cs="Times New Roman"/>
          <w:sz w:val="24"/>
          <w:szCs w:val="24"/>
        </w:rPr>
        <w:t>and A</w:t>
      </w:r>
      <w:r w:rsidRPr="00DA7E53">
        <w:rPr>
          <w:rFonts w:ascii="Times New Roman" w:eastAsia="Calibri" w:hAnsi="Times New Roman" w:cs="Times New Roman"/>
          <w:sz w:val="24"/>
          <w:szCs w:val="24"/>
          <w:vertAlign w:val="subscript"/>
        </w:rPr>
        <w:t xml:space="preserve">1c </w:t>
      </w:r>
      <w:r w:rsidRPr="00DA7E53">
        <w:rPr>
          <w:rFonts w:ascii="Times New Roman" w:eastAsia="Calibri" w:hAnsi="Times New Roman" w:cs="Times New Roman"/>
          <w:sz w:val="24"/>
          <w:szCs w:val="24"/>
        </w:rPr>
        <w:t>while A</w:t>
      </w:r>
      <w:r w:rsidRPr="00DA7E53">
        <w:rPr>
          <w:rFonts w:ascii="Times New Roman" w:eastAsia="Calibri" w:hAnsi="Times New Roman" w:cs="Times New Roman"/>
          <w:sz w:val="24"/>
          <w:szCs w:val="24"/>
          <w:vertAlign w:val="subscript"/>
        </w:rPr>
        <w:t xml:space="preserve">2 </w:t>
      </w:r>
      <w:r w:rsidRPr="00DA7E53">
        <w:rPr>
          <w:rFonts w:ascii="Times New Roman" w:eastAsia="Calibri" w:hAnsi="Times New Roman" w:cs="Times New Roman"/>
          <w:sz w:val="24"/>
          <w:szCs w:val="24"/>
        </w:rPr>
        <w:t>consists of A</w:t>
      </w:r>
      <w:r w:rsidRPr="00DA7E53">
        <w:rPr>
          <w:rFonts w:ascii="Times New Roman" w:eastAsia="Calibri" w:hAnsi="Times New Roman" w:cs="Times New Roman"/>
          <w:sz w:val="24"/>
          <w:szCs w:val="24"/>
          <w:vertAlign w:val="subscript"/>
        </w:rPr>
        <w:t xml:space="preserve">2a, </w:t>
      </w:r>
      <w:r w:rsidRPr="00DA7E53">
        <w:rPr>
          <w:rFonts w:ascii="Times New Roman" w:eastAsia="Calibri" w:hAnsi="Times New Roman" w:cs="Times New Roman"/>
          <w:sz w:val="24"/>
          <w:szCs w:val="24"/>
        </w:rPr>
        <w:t>A</w:t>
      </w:r>
      <w:r w:rsidRPr="00DA7E53">
        <w:rPr>
          <w:rFonts w:ascii="Times New Roman" w:eastAsia="Calibri" w:hAnsi="Times New Roman" w:cs="Times New Roman"/>
          <w:sz w:val="24"/>
          <w:szCs w:val="24"/>
          <w:vertAlign w:val="subscript"/>
        </w:rPr>
        <w:t xml:space="preserve">2b </w:t>
      </w:r>
      <w:r w:rsidRPr="00DA7E53">
        <w:rPr>
          <w:rFonts w:ascii="Times New Roman" w:eastAsia="Calibri" w:hAnsi="Times New Roman" w:cs="Times New Roman"/>
          <w:sz w:val="24"/>
          <w:szCs w:val="24"/>
        </w:rPr>
        <w:t>and A</w:t>
      </w:r>
      <w:r w:rsidRPr="00DA7E53">
        <w:rPr>
          <w:rFonts w:ascii="Times New Roman" w:eastAsia="Calibri" w:hAnsi="Times New Roman" w:cs="Times New Roman"/>
          <w:sz w:val="24"/>
          <w:szCs w:val="24"/>
          <w:vertAlign w:val="subscript"/>
        </w:rPr>
        <w:t xml:space="preserve">2c.  </w:t>
      </w:r>
      <w:r w:rsidRPr="00DA7E53">
        <w:rPr>
          <w:rFonts w:ascii="Times New Roman" w:eastAsia="Calibri" w:hAnsi="Times New Roman" w:cs="Times New Roman"/>
          <w:sz w:val="24"/>
          <w:szCs w:val="24"/>
        </w:rPr>
        <w:t>A</w:t>
      </w:r>
      <w:r w:rsidRPr="00DA7E53">
        <w:rPr>
          <w:rFonts w:ascii="Times New Roman" w:eastAsia="Calibri" w:hAnsi="Times New Roman" w:cs="Times New Roman"/>
          <w:sz w:val="24"/>
          <w:szCs w:val="24"/>
          <w:vertAlign w:val="subscript"/>
        </w:rPr>
        <w:t xml:space="preserve">1 </w:t>
      </w:r>
      <w:r w:rsidRPr="00DA7E53">
        <w:rPr>
          <w:rFonts w:ascii="Times New Roman" w:eastAsia="Calibri" w:hAnsi="Times New Roman" w:cs="Times New Roman"/>
          <w:sz w:val="24"/>
          <w:szCs w:val="24"/>
        </w:rPr>
        <w:t>was the study group fed with stem enhance®, while A</w:t>
      </w:r>
      <w:r w:rsidRPr="00DA7E53">
        <w:rPr>
          <w:rFonts w:ascii="Times New Roman" w:eastAsia="Calibri" w:hAnsi="Times New Roman" w:cs="Times New Roman"/>
          <w:sz w:val="24"/>
          <w:szCs w:val="24"/>
          <w:vertAlign w:val="subscript"/>
        </w:rPr>
        <w:t xml:space="preserve">2 </w:t>
      </w:r>
      <w:r w:rsidRPr="00DA7E53">
        <w:rPr>
          <w:rFonts w:ascii="Times New Roman" w:eastAsia="Calibri" w:hAnsi="Times New Roman" w:cs="Times New Roman"/>
          <w:sz w:val="24"/>
          <w:szCs w:val="24"/>
        </w:rPr>
        <w:t>was the control group that was untreated. Group B had three donkeys that were tagged B</w:t>
      </w:r>
      <w:r w:rsidRPr="00DA7E53">
        <w:rPr>
          <w:rFonts w:ascii="Times New Roman" w:eastAsia="Calibri" w:hAnsi="Times New Roman" w:cs="Times New Roman"/>
          <w:sz w:val="24"/>
          <w:szCs w:val="24"/>
          <w:vertAlign w:val="subscript"/>
        </w:rPr>
        <w:t xml:space="preserve">1 </w:t>
      </w:r>
      <w:r w:rsidRPr="00DA7E53">
        <w:rPr>
          <w:rFonts w:ascii="Times New Roman" w:eastAsia="Calibri" w:hAnsi="Times New Roman" w:cs="Times New Roman"/>
          <w:sz w:val="24"/>
          <w:szCs w:val="24"/>
        </w:rPr>
        <w:t>and B</w:t>
      </w:r>
      <w:r w:rsidRPr="00DA7E53">
        <w:rPr>
          <w:rFonts w:ascii="Times New Roman" w:eastAsia="Calibri" w:hAnsi="Times New Roman" w:cs="Times New Roman"/>
          <w:sz w:val="24"/>
          <w:szCs w:val="24"/>
          <w:vertAlign w:val="subscript"/>
        </w:rPr>
        <w:t xml:space="preserve">2. </w:t>
      </w:r>
      <w:r w:rsidRPr="00DA7E53">
        <w:rPr>
          <w:rFonts w:ascii="Times New Roman" w:eastAsia="Calibri" w:hAnsi="Times New Roman" w:cs="Times New Roman"/>
          <w:sz w:val="24"/>
          <w:szCs w:val="24"/>
        </w:rPr>
        <w:t>B</w:t>
      </w:r>
      <w:r w:rsidRPr="00DA7E53">
        <w:rPr>
          <w:rFonts w:ascii="Times New Roman" w:eastAsia="Calibri" w:hAnsi="Times New Roman" w:cs="Times New Roman"/>
          <w:sz w:val="24"/>
          <w:szCs w:val="24"/>
          <w:vertAlign w:val="subscript"/>
        </w:rPr>
        <w:t xml:space="preserve">1 </w:t>
      </w:r>
      <w:r w:rsidRPr="00DA7E53">
        <w:rPr>
          <w:rFonts w:ascii="Times New Roman" w:eastAsia="Calibri" w:hAnsi="Times New Roman" w:cs="Times New Roman"/>
          <w:sz w:val="24"/>
          <w:szCs w:val="24"/>
        </w:rPr>
        <w:t>was made up of B</w:t>
      </w:r>
      <w:r w:rsidRPr="00DA7E53">
        <w:rPr>
          <w:rFonts w:ascii="Times New Roman" w:eastAsia="Calibri" w:hAnsi="Times New Roman" w:cs="Times New Roman"/>
          <w:sz w:val="24"/>
          <w:szCs w:val="24"/>
          <w:vertAlign w:val="subscript"/>
        </w:rPr>
        <w:t xml:space="preserve">1a </w:t>
      </w:r>
      <w:r w:rsidRPr="00DA7E53">
        <w:rPr>
          <w:rFonts w:ascii="Times New Roman" w:eastAsia="Calibri" w:hAnsi="Times New Roman" w:cs="Times New Roman"/>
          <w:sz w:val="24"/>
          <w:szCs w:val="24"/>
        </w:rPr>
        <w:t>and B</w:t>
      </w:r>
      <w:r w:rsidRPr="00DA7E53">
        <w:rPr>
          <w:rFonts w:ascii="Times New Roman" w:eastAsia="Calibri" w:hAnsi="Times New Roman" w:cs="Times New Roman"/>
          <w:sz w:val="24"/>
          <w:szCs w:val="24"/>
          <w:vertAlign w:val="subscript"/>
        </w:rPr>
        <w:t>1b</w:t>
      </w:r>
      <w:r w:rsidRPr="00DA7E53">
        <w:rPr>
          <w:rFonts w:ascii="Times New Roman" w:eastAsia="Calibri" w:hAnsi="Times New Roman" w:cs="Times New Roman"/>
          <w:sz w:val="24"/>
          <w:szCs w:val="24"/>
        </w:rPr>
        <w:t>while B</w:t>
      </w:r>
      <w:r w:rsidRPr="00DA7E53">
        <w:rPr>
          <w:rFonts w:ascii="Times New Roman" w:eastAsia="Calibri" w:hAnsi="Times New Roman" w:cs="Times New Roman"/>
          <w:sz w:val="24"/>
          <w:szCs w:val="24"/>
          <w:vertAlign w:val="subscript"/>
        </w:rPr>
        <w:t xml:space="preserve">2 </w:t>
      </w:r>
      <w:r w:rsidRPr="00DA7E53">
        <w:rPr>
          <w:rFonts w:ascii="Times New Roman" w:eastAsia="Calibri" w:hAnsi="Times New Roman" w:cs="Times New Roman"/>
          <w:sz w:val="24"/>
          <w:szCs w:val="24"/>
        </w:rPr>
        <w:t>was the only animal in the group of B</w:t>
      </w:r>
      <w:r w:rsidRPr="00DA7E53">
        <w:rPr>
          <w:rFonts w:ascii="Times New Roman" w:eastAsia="Calibri" w:hAnsi="Times New Roman" w:cs="Times New Roman"/>
          <w:sz w:val="24"/>
          <w:szCs w:val="24"/>
          <w:vertAlign w:val="subscript"/>
        </w:rPr>
        <w:t>2</w:t>
      </w:r>
      <w:r w:rsidRPr="00DA7E53">
        <w:rPr>
          <w:rFonts w:ascii="Times New Roman" w:eastAsia="Calibri" w:hAnsi="Times New Roman" w:cs="Times New Roman"/>
          <w:sz w:val="24"/>
          <w:szCs w:val="24"/>
        </w:rPr>
        <w:t>. B</w:t>
      </w:r>
      <w:r w:rsidRPr="00DA7E53">
        <w:rPr>
          <w:rFonts w:ascii="Times New Roman" w:eastAsia="Calibri" w:hAnsi="Times New Roman" w:cs="Times New Roman"/>
          <w:sz w:val="24"/>
          <w:szCs w:val="24"/>
          <w:vertAlign w:val="subscript"/>
        </w:rPr>
        <w:t xml:space="preserve">1 </w:t>
      </w:r>
      <w:r w:rsidRPr="00DA7E53">
        <w:rPr>
          <w:rFonts w:ascii="Times New Roman" w:eastAsia="Calibri" w:hAnsi="Times New Roman" w:cs="Times New Roman"/>
          <w:sz w:val="24"/>
          <w:szCs w:val="24"/>
        </w:rPr>
        <w:t>was the study group fed with stem enhance® while B</w:t>
      </w:r>
      <w:r w:rsidRPr="00DA7E53">
        <w:rPr>
          <w:rFonts w:ascii="Times New Roman" w:eastAsia="Calibri" w:hAnsi="Times New Roman" w:cs="Times New Roman"/>
          <w:sz w:val="24"/>
          <w:szCs w:val="24"/>
          <w:vertAlign w:val="subscript"/>
        </w:rPr>
        <w:t xml:space="preserve">2 </w:t>
      </w:r>
      <w:r w:rsidRPr="00DA7E53">
        <w:rPr>
          <w:rFonts w:ascii="Times New Roman" w:eastAsia="Calibri" w:hAnsi="Times New Roman" w:cs="Times New Roman"/>
          <w:sz w:val="24"/>
          <w:szCs w:val="24"/>
        </w:rPr>
        <w:t xml:space="preserve">was the control that was untreated. Duration of the study was sixteen weeks. Both study groups were fed 2 capsules of stem enhance® (2.5mg/capsule) each daily for two weeks per month and two weeks off (alternately). Both groups were managed clinically while documenting the same post-operative parameters. Hematological parameters (PCV, WBC, Total protein, Hemoglobin concentration, Total white blood count), Stem cell count, Calcium and Phosphorus assay was carried out for both groups pre- and post-operatively. Data obtained were analyzed and findings showed that stem cell count for the group treated with stem enhance® was significant (P &lt;0.05).Values for Total protein was lower in favor of group A (P&lt;0.05), however P value&gt;0.05 was recorded for PCV, WBC, Hemoglobin concentration, Total white blood count was not significant. It was concluded that stem enhance® is a potent stem cell enhancer and may be of </w:t>
      </w:r>
      <w:r w:rsidRPr="00DA7E53">
        <w:rPr>
          <w:rFonts w:ascii="Times New Roman" w:eastAsia="Calibri" w:hAnsi="Times New Roman" w:cs="Times New Roman"/>
          <w:sz w:val="24"/>
          <w:szCs w:val="24"/>
        </w:rPr>
        <w:lastRenderedPageBreak/>
        <w:t>value in reducing healing time of fractures in animals thereby facilitating early return of the study group to active physical exercise. From this experiment, the study group was shown to have a superior healing time of 13weeks as against the control group that had a healing time of 27 weeks.</w:t>
      </w:r>
    </w:p>
    <w:p w:rsidR="00DA7E53" w:rsidRPr="00DA7E53" w:rsidRDefault="00DA7E53" w:rsidP="00DA7E53">
      <w:pPr>
        <w:spacing w:after="120"/>
        <w:rPr>
          <w:rFonts w:ascii="Times New Roman" w:eastAsia="Calibri" w:hAnsi="Times New Roman" w:cs="Times New Roman"/>
          <w:sz w:val="24"/>
          <w:szCs w:val="24"/>
        </w:rPr>
      </w:pPr>
    </w:p>
    <w:p w:rsidR="00DA7E53" w:rsidRPr="00DA7E53" w:rsidRDefault="00DA7E53" w:rsidP="00DA7E53">
      <w:pPr>
        <w:spacing w:after="120"/>
        <w:rPr>
          <w:rFonts w:ascii="Times New Roman" w:eastAsia="Calibri" w:hAnsi="Times New Roman" w:cs="Times New Roman"/>
          <w:b/>
          <w:sz w:val="24"/>
          <w:szCs w:val="24"/>
        </w:rPr>
      </w:pPr>
      <w:r w:rsidRPr="00DA7E53">
        <w:rPr>
          <w:rFonts w:ascii="Times New Roman" w:eastAsia="Calibri" w:hAnsi="Times New Roman" w:cs="Times New Roman"/>
          <w:b/>
          <w:sz w:val="24"/>
          <w:szCs w:val="24"/>
        </w:rPr>
        <w:t xml:space="preserve">Keywords: Stem cells (Mesenchymal stem cell), Hematological parameters, Stem enhance,   </w:t>
      </w:r>
    </w:p>
    <w:p w:rsidR="00DA7E53" w:rsidRPr="00DA7E53" w:rsidRDefault="00DA7E53" w:rsidP="00DA7E53">
      <w:pPr>
        <w:spacing w:after="120"/>
        <w:rPr>
          <w:rFonts w:ascii="Times New Roman" w:eastAsia="Calibri" w:hAnsi="Times New Roman" w:cs="Times New Roman"/>
          <w:b/>
          <w:sz w:val="24"/>
          <w:szCs w:val="24"/>
        </w:rPr>
      </w:pPr>
      <w:r w:rsidRPr="00DA7E53">
        <w:rPr>
          <w:rFonts w:ascii="Times New Roman" w:eastAsia="Calibri" w:hAnsi="Times New Roman" w:cs="Times New Roman"/>
          <w:b/>
          <w:sz w:val="24"/>
          <w:szCs w:val="24"/>
        </w:rPr>
        <w:t xml:space="preserve">                    Fracture,</w:t>
      </w:r>
      <w:r w:rsidR="007A52B5">
        <w:rPr>
          <w:rFonts w:ascii="Times New Roman" w:eastAsia="Calibri" w:hAnsi="Times New Roman" w:cs="Times New Roman"/>
          <w:b/>
          <w:sz w:val="24"/>
          <w:szCs w:val="24"/>
        </w:rPr>
        <w:t xml:space="preserve"> </w:t>
      </w:r>
      <w:bookmarkStart w:id="0" w:name="_GoBack"/>
      <w:bookmarkEnd w:id="0"/>
      <w:r w:rsidRPr="00DA7E53">
        <w:rPr>
          <w:rFonts w:ascii="Times New Roman" w:eastAsia="Calibri" w:hAnsi="Times New Roman" w:cs="Times New Roman"/>
          <w:b/>
          <w:sz w:val="24"/>
          <w:szCs w:val="24"/>
        </w:rPr>
        <w:t xml:space="preserve"> Donkeys.</w:t>
      </w:r>
    </w:p>
    <w:p w:rsidR="008241EE" w:rsidRDefault="008241EE"/>
    <w:sectPr w:rsidR="008241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E53"/>
    <w:rsid w:val="007A52B5"/>
    <w:rsid w:val="008241EE"/>
    <w:rsid w:val="00DA7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382</Words>
  <Characters>2181</Characters>
  <Application>Microsoft Office Word</Application>
  <DocSecurity>0</DocSecurity>
  <Lines>18</Lines>
  <Paragraphs>5</Paragraphs>
  <ScaleCrop>false</ScaleCrop>
  <Company/>
  <LinksUpToDate>false</LinksUpToDate>
  <CharactersWithSpaces>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2015-10-13T14:02:00Z</dcterms:created>
  <dcterms:modified xsi:type="dcterms:W3CDTF">2017-11-03T13:11:00Z</dcterms:modified>
</cp:coreProperties>
</file>