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4F1" w:rsidRDefault="003724F1" w:rsidP="003724F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7E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724F1" w:rsidRDefault="003724F1" w:rsidP="003724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B2032">
        <w:rPr>
          <w:rFonts w:ascii="Times New Roman" w:hAnsi="Times New Roman" w:cs="Times New Roman" w:hint="eastAsia"/>
          <w:b/>
          <w:sz w:val="24"/>
          <w:szCs w:val="24"/>
        </w:rPr>
        <w:t>Background</w:t>
      </w:r>
      <w:r>
        <w:rPr>
          <w:rFonts w:ascii="Times New Roman" w:hAnsi="Times New Roman" w:cs="Times New Roman" w:hint="eastAsia"/>
          <w:sz w:val="24"/>
          <w:szCs w:val="24"/>
        </w:rPr>
        <w:t xml:space="preserve"> Low levels of serum </w:t>
      </w:r>
      <w:r w:rsidRPr="006107AA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 w:hint="eastAsia"/>
          <w:sz w:val="24"/>
          <w:szCs w:val="24"/>
        </w:rPr>
        <w:t>(OH)</w:t>
      </w:r>
      <w:r w:rsidRPr="006107AA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 w:hint="eastAsia"/>
          <w:sz w:val="24"/>
          <w:szCs w:val="24"/>
        </w:rPr>
        <w:t xml:space="preserve"> and high levels of bone turnover markers were associated with increased risk of fracture. We aimed to explore the</w:t>
      </w:r>
      <w:r w:rsidRPr="006107AA">
        <w:rPr>
          <w:rFonts w:ascii="Times New Roman" w:hAnsi="Times New Roman" w:cs="Times New Roman"/>
          <w:sz w:val="24"/>
          <w:szCs w:val="24"/>
        </w:rPr>
        <w:t xml:space="preserve"> relationship between serum 25</w:t>
      </w:r>
      <w:r>
        <w:rPr>
          <w:rFonts w:ascii="Times New Roman" w:hAnsi="Times New Roman" w:cs="Times New Roman" w:hint="eastAsia"/>
          <w:sz w:val="24"/>
          <w:szCs w:val="24"/>
        </w:rPr>
        <w:t>(OH)</w:t>
      </w:r>
      <w:r w:rsidRPr="006107AA">
        <w:rPr>
          <w:rFonts w:ascii="Times New Roman" w:hAnsi="Times New Roman" w:cs="Times New Roman"/>
          <w:sz w:val="24"/>
          <w:szCs w:val="24"/>
        </w:rPr>
        <w:t xml:space="preserve">D, </w:t>
      </w:r>
      <w:r>
        <w:rPr>
          <w:rFonts w:ascii="Times New Roman" w:hAnsi="Times New Roman" w:cs="Times New Roman" w:hint="eastAsia"/>
          <w:sz w:val="24"/>
          <w:szCs w:val="24"/>
        </w:rPr>
        <w:t>bone turnover markers</w:t>
      </w:r>
      <w:r w:rsidRPr="006107AA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>bone mineral density</w:t>
      </w:r>
      <w:r w:rsidRPr="006107AA">
        <w:rPr>
          <w:rFonts w:ascii="Times New Roman" w:hAnsi="Times New Roman" w:cs="Times New Roman"/>
          <w:sz w:val="24"/>
          <w:szCs w:val="24"/>
        </w:rPr>
        <w:t xml:space="preserve"> in senile postmen</w:t>
      </w:r>
      <w:r>
        <w:rPr>
          <w:rFonts w:ascii="Times New Roman" w:hAnsi="Times New Roman" w:cs="Times New Roman"/>
          <w:sz w:val="24"/>
          <w:szCs w:val="24"/>
        </w:rPr>
        <w:t xml:space="preserve">opausal women with </w:t>
      </w:r>
      <w:r w:rsidRPr="006107AA">
        <w:rPr>
          <w:rFonts w:ascii="Times New Roman" w:hAnsi="Times New Roman" w:cs="Times New Roman"/>
          <w:sz w:val="24"/>
          <w:szCs w:val="24"/>
        </w:rPr>
        <w:t>hip fracture in North China(Beijing).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3724F1" w:rsidRDefault="003724F1" w:rsidP="003724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3396">
        <w:rPr>
          <w:rFonts w:ascii="Times New Roman" w:hAnsi="Times New Roman" w:cs="Times New Roman" w:hint="eastAsia"/>
          <w:b/>
          <w:sz w:val="24"/>
          <w:szCs w:val="24"/>
        </w:rPr>
        <w:t>Material and Methods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107AA">
        <w:rPr>
          <w:rFonts w:ascii="Times New Roman" w:hAnsi="Times New Roman" w:cs="Times New Roman"/>
          <w:sz w:val="24"/>
          <w:szCs w:val="24"/>
        </w:rPr>
        <w:t xml:space="preserve">277 </w:t>
      </w:r>
      <w:r>
        <w:rPr>
          <w:rFonts w:ascii="Times New Roman" w:hAnsi="Times New Roman" w:cs="Times New Roman"/>
          <w:sz w:val="24"/>
          <w:szCs w:val="24"/>
        </w:rPr>
        <w:t>patients with hip fractures and 272 patients without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fractures </w:t>
      </w:r>
      <w:r w:rsidRPr="006107AA">
        <w:rPr>
          <w:rFonts w:ascii="Times New Roman" w:hAnsi="Times New Roman" w:cs="Times New Roman"/>
          <w:sz w:val="24"/>
          <w:szCs w:val="24"/>
        </w:rPr>
        <w:t>in postmenopausal women were included</w:t>
      </w:r>
      <w:r>
        <w:rPr>
          <w:rFonts w:ascii="Times New Roman" w:hAnsi="Times New Roman" w:cs="Times New Roman" w:hint="eastAsia"/>
          <w:sz w:val="24"/>
          <w:szCs w:val="24"/>
        </w:rPr>
        <w:t xml:space="preserve"> in this study.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 xml:space="preserve">he serum </w:t>
      </w:r>
      <w:r w:rsidRPr="006107AA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 w:hint="eastAsia"/>
          <w:sz w:val="24"/>
          <w:szCs w:val="24"/>
        </w:rPr>
        <w:t>(OH)</w:t>
      </w:r>
      <w:r w:rsidRPr="006107A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 w:hint="eastAsia"/>
          <w:sz w:val="24"/>
          <w:szCs w:val="24"/>
        </w:rPr>
        <w:t xml:space="preserve">, bone </w:t>
      </w:r>
      <w:r>
        <w:rPr>
          <w:rFonts w:ascii="Times New Roman" w:hAnsi="Times New Roman" w:cs="Times New Roman"/>
          <w:sz w:val="24"/>
          <w:szCs w:val="24"/>
        </w:rPr>
        <w:t>formation</w:t>
      </w:r>
      <w:r>
        <w:rPr>
          <w:rFonts w:ascii="Times New Roman" w:hAnsi="Times New Roman" w:cs="Times New Roman" w:hint="eastAsia"/>
          <w:sz w:val="24"/>
          <w:szCs w:val="24"/>
        </w:rPr>
        <w:t xml:space="preserve"> markers, including </w:t>
      </w:r>
      <w:r w:rsidRPr="006107AA">
        <w:rPr>
          <w:rFonts w:ascii="Times New Roman" w:hAnsi="Times New Roman" w:cs="Times New Roman"/>
          <w:sz w:val="24"/>
          <w:szCs w:val="24"/>
        </w:rPr>
        <w:t>N-terminal extension propeptide of type-I collagen (P1NP), alkaline phosphatase</w:t>
      </w:r>
      <w:r>
        <w:rPr>
          <w:rFonts w:ascii="Times New Roman" w:hAnsi="Times New Roman" w:cs="Times New Roman"/>
          <w:sz w:val="24"/>
          <w:szCs w:val="24"/>
        </w:rPr>
        <w:t xml:space="preserve"> (ALP) and osteocalcin(OC)</w:t>
      </w:r>
      <w:r>
        <w:rPr>
          <w:rFonts w:ascii="Times New Roman" w:hAnsi="Times New Roman" w:cs="Times New Roman" w:hint="eastAsia"/>
          <w:sz w:val="24"/>
          <w:szCs w:val="24"/>
        </w:rPr>
        <w:t xml:space="preserve">, bone resorption markers, including </w:t>
      </w:r>
      <w:r w:rsidRPr="006107AA">
        <w:rPr>
          <w:rFonts w:ascii="Times New Roman" w:hAnsi="Times New Roman" w:cs="Times New Roman"/>
          <w:sz w:val="24"/>
          <w:szCs w:val="24"/>
        </w:rPr>
        <w:t>C-terminal telopeptide of type-I collagen (CTX-1)</w:t>
      </w:r>
      <w:r>
        <w:rPr>
          <w:rFonts w:ascii="Times New Roman" w:hAnsi="Times New Roman" w:cs="Times New Roman" w:hint="eastAsia"/>
          <w:sz w:val="24"/>
          <w:szCs w:val="24"/>
        </w:rPr>
        <w:t xml:space="preserve">, and bone mineral density were collected and </w:t>
      </w:r>
      <w:r>
        <w:rPr>
          <w:rFonts w:ascii="Times New Roman" w:hAnsi="Times New Roman" w:cs="Times New Roman"/>
          <w:sz w:val="24"/>
          <w:szCs w:val="24"/>
        </w:rPr>
        <w:t>analyzed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3724F1" w:rsidRDefault="003724F1" w:rsidP="003724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3396">
        <w:rPr>
          <w:rFonts w:ascii="Times New Roman" w:hAnsi="Times New Roman" w:cs="Times New Roman" w:hint="eastAsia"/>
          <w:b/>
          <w:sz w:val="24"/>
          <w:szCs w:val="24"/>
        </w:rPr>
        <w:t>Results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he univariate analysis showed that</w:t>
      </w:r>
      <w:r w:rsidRPr="006107AA">
        <w:rPr>
          <w:rFonts w:ascii="Times New Roman" w:hAnsi="Times New Roman" w:cs="Times New Roman"/>
          <w:sz w:val="24"/>
          <w:szCs w:val="24"/>
        </w:rPr>
        <w:t xml:space="preserve"> fracture-group patients had significantly lower levels of 25(OH)D (12.33 VS 23.92, P&lt;0.001).</w:t>
      </w:r>
      <w:r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Pr="006107AA">
        <w:rPr>
          <w:rFonts w:ascii="Times New Roman" w:hAnsi="Times New Roman" w:cs="Times New Roman"/>
          <w:sz w:val="24"/>
          <w:szCs w:val="24"/>
        </w:rPr>
        <w:t>erum CTX-1, P1NP and OC were significantly higher in patients with fractures compared with patients without fractures (0.67 VS 0.46, 53.57 VS 39.79 and 19.24 VS 15.64, P&lt;0.001)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6107AA">
        <w:rPr>
          <w:rFonts w:ascii="Times New Roman" w:hAnsi="Times New Roman" w:cs="Times New Roman"/>
          <w:sz w:val="24"/>
          <w:szCs w:val="24"/>
        </w:rPr>
        <w:t>Women in the fracture group had significantly lower femoral neck and total hip BMD than patients without fracture (0.694 VS 0.726 and 0.789 VS 0.828, P&lt;0.001).</w:t>
      </w:r>
      <w:r w:rsidRPr="00AE47E3">
        <w:rPr>
          <w:rFonts w:ascii="Times New Roman" w:hAnsi="Times New Roman" w:cs="Times New Roman"/>
          <w:sz w:val="24"/>
          <w:szCs w:val="24"/>
        </w:rPr>
        <w:t xml:space="preserve"> </w:t>
      </w:r>
      <w:r w:rsidRPr="006107AA">
        <w:rPr>
          <w:rFonts w:ascii="Times New Roman" w:hAnsi="Times New Roman" w:cs="Times New Roman"/>
          <w:sz w:val="24"/>
          <w:szCs w:val="24"/>
        </w:rPr>
        <w:t>After adjustment for age</w:t>
      </w:r>
      <w:r>
        <w:rPr>
          <w:rFonts w:ascii="Times New Roman" w:hAnsi="Times New Roman" w:cs="Times New Roman" w:hint="eastAsia"/>
          <w:sz w:val="24"/>
          <w:szCs w:val="24"/>
        </w:rPr>
        <w:t xml:space="preserve"> and other </w:t>
      </w:r>
      <w:r>
        <w:rPr>
          <w:rFonts w:ascii="Times New Roman" w:hAnsi="Times New Roman" w:cs="Times New Roman"/>
          <w:sz w:val="24"/>
          <w:szCs w:val="24"/>
        </w:rPr>
        <w:t>confounding</w:t>
      </w:r>
      <w:r>
        <w:rPr>
          <w:rFonts w:ascii="Times New Roman" w:hAnsi="Times New Roman" w:cs="Times New Roman" w:hint="eastAsia"/>
          <w:sz w:val="24"/>
          <w:szCs w:val="24"/>
        </w:rPr>
        <w:t xml:space="preserve"> factors</w:t>
      </w:r>
      <w:r w:rsidRPr="006107AA">
        <w:rPr>
          <w:rFonts w:ascii="Times New Roman" w:hAnsi="Times New Roman" w:cs="Times New Roman"/>
          <w:sz w:val="24"/>
          <w:szCs w:val="24"/>
        </w:rPr>
        <w:t>, multivariable logistic regression analysis showed that serum 25(OH)D (OR=0.878, 95%</w:t>
      </w:r>
      <w:r>
        <w:rPr>
          <w:rFonts w:ascii="Times New Roman" w:hAnsi="Times New Roman" w:cs="Times New Roman" w:hint="eastAsia"/>
          <w:sz w:val="24"/>
          <w:szCs w:val="24"/>
        </w:rPr>
        <w:t>CI</w:t>
      </w:r>
      <w:r w:rsidRPr="006107AA">
        <w:rPr>
          <w:rFonts w:ascii="Times New Roman" w:hAnsi="Times New Roman" w:cs="Times New Roman"/>
          <w:sz w:val="24"/>
          <w:szCs w:val="24"/>
        </w:rPr>
        <w:t>=0.855~0.902, p&lt;0.001), CTX-1 (OR=4.884, 95%</w:t>
      </w:r>
      <w:r>
        <w:rPr>
          <w:rFonts w:ascii="Times New Roman" w:hAnsi="Times New Roman" w:cs="Times New Roman" w:hint="eastAsia"/>
          <w:sz w:val="24"/>
          <w:szCs w:val="24"/>
        </w:rPr>
        <w:t>CI</w:t>
      </w:r>
      <w:r w:rsidRPr="006107AA">
        <w:rPr>
          <w:rFonts w:ascii="Times New Roman" w:hAnsi="Times New Roman" w:cs="Times New Roman"/>
          <w:sz w:val="24"/>
          <w:szCs w:val="24"/>
        </w:rPr>
        <w:t>=2.419~9.861, p&lt;0.001)and total hip BMD (OR=0.141, 95%</w:t>
      </w:r>
      <w:r>
        <w:rPr>
          <w:rFonts w:ascii="Times New Roman" w:hAnsi="Times New Roman" w:cs="Times New Roman" w:hint="eastAsia"/>
          <w:sz w:val="24"/>
          <w:szCs w:val="24"/>
        </w:rPr>
        <w:t>CI</w:t>
      </w:r>
      <w:r w:rsidRPr="006107AA">
        <w:rPr>
          <w:rFonts w:ascii="Times New Roman" w:hAnsi="Times New Roman" w:cs="Times New Roman"/>
          <w:sz w:val="24"/>
          <w:szCs w:val="24"/>
        </w:rPr>
        <w:t>=0.034~0.577, p=0.006) were independent risk factors for hip fractures in postmenopausal women.</w:t>
      </w:r>
      <w:r w:rsidRPr="00AE47E3">
        <w:rPr>
          <w:rFonts w:ascii="Times New Roman" w:hAnsi="Times New Roman" w:cs="Times New Roman"/>
          <w:sz w:val="24"/>
          <w:szCs w:val="24"/>
        </w:rPr>
        <w:t xml:space="preserve"> </w:t>
      </w:r>
      <w:r w:rsidRPr="006107A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 xml:space="preserve">receiver operating </w:t>
      </w:r>
      <w:r>
        <w:rPr>
          <w:rFonts w:ascii="Times New Roman" w:hAnsi="Times New Roman" w:cs="Times New Roman"/>
          <w:sz w:val="24"/>
          <w:szCs w:val="24"/>
        </w:rPr>
        <w:t>characteristics</w:t>
      </w:r>
      <w:r>
        <w:rPr>
          <w:rFonts w:ascii="Times New Roman" w:hAnsi="Times New Roman" w:cs="Times New Roman" w:hint="eastAsia"/>
          <w:sz w:val="24"/>
          <w:szCs w:val="24"/>
        </w:rPr>
        <w:t xml:space="preserve"> curves showed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107AA">
        <w:rPr>
          <w:rFonts w:ascii="Times New Roman" w:hAnsi="Times New Roman" w:cs="Times New Roman"/>
          <w:sz w:val="24"/>
          <w:szCs w:val="24"/>
        </w:rPr>
        <w:t xml:space="preserve">serum 25(OH)D had a good AUC value (0.830). </w:t>
      </w:r>
    </w:p>
    <w:p w:rsidR="003724F1" w:rsidRDefault="003724F1" w:rsidP="003724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3396">
        <w:rPr>
          <w:rFonts w:ascii="Times New Roman" w:hAnsi="Times New Roman" w:cs="Times New Roman" w:hint="eastAsia"/>
          <w:b/>
          <w:sz w:val="24"/>
          <w:szCs w:val="24"/>
        </w:rPr>
        <w:t>Conclusion</w:t>
      </w:r>
      <w:r>
        <w:rPr>
          <w:rFonts w:ascii="Times New Roman" w:hAnsi="Times New Roman" w:cs="Times New Roman" w:hint="eastAsia"/>
          <w:sz w:val="24"/>
          <w:szCs w:val="24"/>
        </w:rPr>
        <w:t xml:space="preserve"> M</w:t>
      </w:r>
      <w:r w:rsidRPr="006107AA">
        <w:rPr>
          <w:rFonts w:ascii="Times New Roman" w:hAnsi="Times New Roman" w:cs="Times New Roman"/>
          <w:sz w:val="24"/>
          <w:szCs w:val="24"/>
        </w:rPr>
        <w:t xml:space="preserve">onitoring the alteration of serum 25(OH)D and CTX-1 in clinically might be </w:t>
      </w:r>
      <w:r>
        <w:rPr>
          <w:rFonts w:ascii="Times New Roman" w:hAnsi="Times New Roman" w:cs="Times New Roman"/>
          <w:sz w:val="24"/>
          <w:szCs w:val="24"/>
        </w:rPr>
        <w:t>useful for fracture prevention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3E5F19" w:rsidRPr="003724F1" w:rsidRDefault="003E5F19"/>
    <w:sectPr w:rsidR="003E5F19" w:rsidRPr="003724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F19" w:rsidRDefault="003E5F19" w:rsidP="003724F1">
      <w:r>
        <w:separator/>
      </w:r>
    </w:p>
  </w:endnote>
  <w:endnote w:type="continuationSeparator" w:id="1">
    <w:p w:rsidR="003E5F19" w:rsidRDefault="003E5F19" w:rsidP="003724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F19" w:rsidRDefault="003E5F19" w:rsidP="003724F1">
      <w:r>
        <w:separator/>
      </w:r>
    </w:p>
  </w:footnote>
  <w:footnote w:type="continuationSeparator" w:id="1">
    <w:p w:rsidR="003E5F19" w:rsidRDefault="003E5F19" w:rsidP="003724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24F1"/>
    <w:rsid w:val="003724F1"/>
    <w:rsid w:val="003E5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4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2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24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24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24F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>CHINA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2017-07-30T14:02:00Z</dcterms:created>
  <dcterms:modified xsi:type="dcterms:W3CDTF">2017-07-30T14:02:00Z</dcterms:modified>
</cp:coreProperties>
</file>