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574029" w14:textId="77777777" w:rsidR="00D779FE" w:rsidRDefault="00D779FE" w:rsidP="00D779FE">
      <w:pPr>
        <w:jc w:val="center"/>
        <w:rPr>
          <w:b/>
        </w:rPr>
      </w:pPr>
      <w:r>
        <w:rPr>
          <w:b/>
          <w:noProof/>
          <w:sz w:val="28"/>
        </w:rPr>
        <w:drawing>
          <wp:anchor distT="0" distB="0" distL="114300" distR="114300" simplePos="0" relativeHeight="251659264" behindDoc="0" locked="0" layoutInCell="1" allowOverlap="1" wp14:anchorId="05FB5071" wp14:editId="1549BDC5">
            <wp:simplePos x="0" y="0"/>
            <wp:positionH relativeFrom="column">
              <wp:posOffset>4666248</wp:posOffset>
            </wp:positionH>
            <wp:positionV relativeFrom="paragraph">
              <wp:posOffset>-42545</wp:posOffset>
            </wp:positionV>
            <wp:extent cx="1257512" cy="1257512"/>
            <wp:effectExtent l="0" t="0" r="12700" b="1270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031 2x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57512" cy="1257512"/>
                    </a:xfrm>
                    <a:prstGeom prst="rect">
                      <a:avLst/>
                    </a:prstGeom>
                  </pic:spPr>
                </pic:pic>
              </a:graphicData>
            </a:graphic>
            <wp14:sizeRelH relativeFrom="page">
              <wp14:pctWidth>0</wp14:pctWidth>
            </wp14:sizeRelH>
            <wp14:sizeRelV relativeFrom="page">
              <wp14:pctHeight>0</wp14:pctHeight>
            </wp14:sizeRelV>
          </wp:anchor>
        </w:drawing>
      </w:r>
    </w:p>
    <w:p w14:paraId="6B4551B0" w14:textId="77777777" w:rsidR="00D779FE" w:rsidRDefault="00D779FE" w:rsidP="00D779FE">
      <w:pPr>
        <w:jc w:val="center"/>
        <w:rPr>
          <w:b/>
        </w:rPr>
      </w:pPr>
    </w:p>
    <w:p w14:paraId="5D5BC33F" w14:textId="77777777" w:rsidR="00D779FE" w:rsidRDefault="00D779FE" w:rsidP="00D779FE">
      <w:pPr>
        <w:jc w:val="center"/>
        <w:rPr>
          <w:b/>
        </w:rPr>
      </w:pPr>
    </w:p>
    <w:p w14:paraId="245E40E6" w14:textId="77777777" w:rsidR="00D779FE" w:rsidRDefault="00D779FE" w:rsidP="00D779FE">
      <w:pPr>
        <w:jc w:val="center"/>
        <w:rPr>
          <w:b/>
        </w:rPr>
      </w:pPr>
    </w:p>
    <w:p w14:paraId="4EEC7871" w14:textId="77777777" w:rsidR="00D779FE" w:rsidRDefault="00D779FE" w:rsidP="00D779FE">
      <w:pPr>
        <w:jc w:val="center"/>
        <w:rPr>
          <w:b/>
        </w:rPr>
      </w:pPr>
    </w:p>
    <w:p w14:paraId="60D56C6D" w14:textId="77777777" w:rsidR="00D779FE" w:rsidRDefault="00D779FE" w:rsidP="00D779FE">
      <w:pPr>
        <w:jc w:val="center"/>
        <w:rPr>
          <w:b/>
        </w:rPr>
      </w:pPr>
    </w:p>
    <w:p w14:paraId="76AD8895" w14:textId="77777777" w:rsidR="00D779FE" w:rsidRDefault="00D779FE" w:rsidP="00D779FE">
      <w:pPr>
        <w:jc w:val="center"/>
        <w:rPr>
          <w:b/>
        </w:rPr>
      </w:pPr>
    </w:p>
    <w:p w14:paraId="7A5DA70C" w14:textId="77777777" w:rsidR="00D779FE" w:rsidRDefault="00D779FE" w:rsidP="00D779FE">
      <w:pPr>
        <w:jc w:val="center"/>
        <w:rPr>
          <w:b/>
        </w:rPr>
      </w:pPr>
      <w:r>
        <w:rPr>
          <w:b/>
        </w:rPr>
        <w:t xml:space="preserve">TITLE: </w:t>
      </w:r>
      <w:r w:rsidRPr="008B540A">
        <w:rPr>
          <w:b/>
        </w:rPr>
        <w:t>Osteonecrosis of the Jaw and Bilateral Atypical Femoral Fracture Both Occurring During Treatment for Osteoporosis</w:t>
      </w:r>
    </w:p>
    <w:p w14:paraId="75DE7F5A" w14:textId="77777777" w:rsidR="00D779FE" w:rsidRDefault="00D779FE" w:rsidP="00D779FE">
      <w:pPr>
        <w:jc w:val="center"/>
      </w:pPr>
      <w:r>
        <w:t xml:space="preserve">Authors: </w:t>
      </w:r>
      <w:r>
        <w:rPr>
          <w:u w:val="single"/>
        </w:rPr>
        <w:t>Edelissa F. Payumo, MD</w:t>
      </w:r>
      <w:r>
        <w:t xml:space="preserve">; </w:t>
      </w:r>
      <w:proofErr w:type="spellStart"/>
      <w:r>
        <w:t>Beinjerick</w:t>
      </w:r>
      <w:proofErr w:type="spellEnd"/>
      <w:r>
        <w:t xml:space="preserve"> Ivan B. </w:t>
      </w:r>
      <w:proofErr w:type="spellStart"/>
      <w:r>
        <w:t>Cudal</w:t>
      </w:r>
      <w:proofErr w:type="spellEnd"/>
      <w:r>
        <w:t xml:space="preserve">, MD; </w:t>
      </w:r>
    </w:p>
    <w:p w14:paraId="73C8939B" w14:textId="77777777" w:rsidR="00D779FE" w:rsidRDefault="00D779FE" w:rsidP="00D779FE">
      <w:pPr>
        <w:jc w:val="center"/>
      </w:pPr>
      <w:r>
        <w:t>Thelma D. Crisostomo, MD, FPCP, FPSEDM</w:t>
      </w:r>
    </w:p>
    <w:p w14:paraId="70D3A182" w14:textId="77777777" w:rsidR="00D779FE" w:rsidRPr="00D779FE" w:rsidRDefault="00D779FE" w:rsidP="00D779FE">
      <w:pPr>
        <w:jc w:val="center"/>
      </w:pPr>
      <w:r>
        <w:t xml:space="preserve">MAKATI MEDICAL CENTER </w:t>
      </w:r>
    </w:p>
    <w:p w14:paraId="01E7F057" w14:textId="77777777" w:rsidR="00D779FE" w:rsidRDefault="00D779FE" w:rsidP="00D779FE">
      <w:pPr>
        <w:spacing w:after="120"/>
        <w:jc w:val="both"/>
        <w:rPr>
          <w:b/>
          <w:sz w:val="22"/>
          <w:szCs w:val="22"/>
        </w:rPr>
      </w:pPr>
    </w:p>
    <w:p w14:paraId="39FBF3AD" w14:textId="77777777" w:rsidR="00D779FE" w:rsidRPr="005C3A36" w:rsidRDefault="00D779FE" w:rsidP="00D779FE">
      <w:pPr>
        <w:spacing w:after="120"/>
        <w:jc w:val="both"/>
        <w:rPr>
          <w:sz w:val="22"/>
          <w:szCs w:val="22"/>
        </w:rPr>
      </w:pPr>
      <w:r w:rsidRPr="005C3A36">
        <w:rPr>
          <w:b/>
          <w:sz w:val="22"/>
          <w:szCs w:val="22"/>
        </w:rPr>
        <w:t>Background:</w:t>
      </w:r>
      <w:r w:rsidRPr="005C3A36">
        <w:rPr>
          <w:sz w:val="22"/>
          <w:szCs w:val="22"/>
        </w:rPr>
        <w:t xml:space="preserve"> Osteonecrosis of the jaw (ONJ) and atypical femoral fracture (AFF) are rare potential adverse effects of bisphosphonates and RANKL antibody, occurring in 1 and 2 per 100,000 person-years, respectively. The pathogenic mechanisms of both conditions are known to be independent of each other. Here, we report both conditions sequentially occurring in the same patient.</w:t>
      </w:r>
    </w:p>
    <w:p w14:paraId="11C004ED" w14:textId="77777777" w:rsidR="00D779FE" w:rsidRPr="005C3A36" w:rsidRDefault="00D779FE" w:rsidP="00D779FE">
      <w:pPr>
        <w:spacing w:after="120"/>
        <w:jc w:val="both"/>
        <w:rPr>
          <w:sz w:val="22"/>
          <w:szCs w:val="22"/>
        </w:rPr>
      </w:pPr>
      <w:r w:rsidRPr="005C3A36">
        <w:rPr>
          <w:b/>
          <w:sz w:val="22"/>
          <w:szCs w:val="22"/>
        </w:rPr>
        <w:t>Clinical Case:</w:t>
      </w:r>
      <w:r w:rsidRPr="005C3A36">
        <w:rPr>
          <w:sz w:val="22"/>
          <w:szCs w:val="22"/>
        </w:rPr>
        <w:t xml:space="preserve">  An 81-year old, obese, diabetic, female was admitted due to hypertensive urgency and persistent jaw pain after tooth extraction. The patient has postmenopausal osteoporosis for fourteen years and was on intermittent unsupervised treatment with alendronate, </w:t>
      </w:r>
      <w:proofErr w:type="spellStart"/>
      <w:r w:rsidRPr="005C3A36">
        <w:rPr>
          <w:sz w:val="22"/>
          <w:szCs w:val="22"/>
        </w:rPr>
        <w:t>denosumab</w:t>
      </w:r>
      <w:proofErr w:type="spellEnd"/>
      <w:r w:rsidRPr="005C3A36">
        <w:rPr>
          <w:sz w:val="22"/>
          <w:szCs w:val="22"/>
        </w:rPr>
        <w:t xml:space="preserve"> and </w:t>
      </w:r>
      <w:proofErr w:type="spellStart"/>
      <w:r w:rsidRPr="005C3A36">
        <w:rPr>
          <w:sz w:val="22"/>
          <w:szCs w:val="22"/>
        </w:rPr>
        <w:t>ibandronate</w:t>
      </w:r>
      <w:proofErr w:type="spellEnd"/>
      <w:r w:rsidRPr="005C3A36">
        <w:rPr>
          <w:sz w:val="22"/>
          <w:szCs w:val="22"/>
        </w:rPr>
        <w:t>. She had suffered sequential fracture of both femurs during the eighth and eleventh year of treatment. Both fractures were transverse, non-comminuted, at the proximal femoral shaft, which occurred after a minor trauma, and were managed with open reduction and internal fixation.</w:t>
      </w:r>
    </w:p>
    <w:p w14:paraId="0E89B0BF" w14:textId="77777777" w:rsidR="00D779FE" w:rsidRPr="005C3A36" w:rsidRDefault="00D779FE" w:rsidP="00D779FE">
      <w:pPr>
        <w:spacing w:after="120"/>
        <w:ind w:firstLine="720"/>
        <w:jc w:val="both"/>
        <w:rPr>
          <w:sz w:val="22"/>
          <w:szCs w:val="22"/>
        </w:rPr>
      </w:pPr>
      <w:r w:rsidRPr="005C3A36">
        <w:rPr>
          <w:color w:val="000000" w:themeColor="text1"/>
          <w:sz w:val="22"/>
          <w:szCs w:val="22"/>
        </w:rPr>
        <w:t>Upon</w:t>
      </w:r>
      <w:r w:rsidRPr="005C3A36">
        <w:rPr>
          <w:sz w:val="22"/>
          <w:szCs w:val="22"/>
        </w:rPr>
        <w:t xml:space="preserve"> presentation, the patient was noted with tenderness </w:t>
      </w:r>
      <w:proofErr w:type="spellStart"/>
      <w:r w:rsidRPr="005C3A36">
        <w:rPr>
          <w:sz w:val="22"/>
          <w:szCs w:val="22"/>
        </w:rPr>
        <w:t>intraorally</w:t>
      </w:r>
      <w:proofErr w:type="spellEnd"/>
      <w:r w:rsidRPr="005C3A36">
        <w:rPr>
          <w:sz w:val="22"/>
          <w:szCs w:val="22"/>
        </w:rPr>
        <w:t xml:space="preserve"> of tooth number 35 </w:t>
      </w:r>
      <w:proofErr w:type="spellStart"/>
      <w:r w:rsidRPr="005C3A36">
        <w:rPr>
          <w:sz w:val="22"/>
          <w:szCs w:val="22"/>
        </w:rPr>
        <w:t>periapical</w:t>
      </w:r>
      <w:proofErr w:type="spellEnd"/>
      <w:r w:rsidRPr="005C3A36">
        <w:rPr>
          <w:sz w:val="22"/>
          <w:szCs w:val="22"/>
        </w:rPr>
        <w:t xml:space="preserve"> region, no pus, no mandibular swelling. There was peripheral leukocytosis, elevated erythrocyte sedimentation rate, C-reactive protein. Panoramic with </w:t>
      </w:r>
      <w:proofErr w:type="spellStart"/>
      <w:r w:rsidRPr="005C3A36">
        <w:rPr>
          <w:sz w:val="22"/>
          <w:szCs w:val="22"/>
        </w:rPr>
        <w:t>periapical</w:t>
      </w:r>
      <w:proofErr w:type="spellEnd"/>
      <w:r w:rsidRPr="005C3A36">
        <w:rPr>
          <w:sz w:val="22"/>
          <w:szCs w:val="22"/>
        </w:rPr>
        <w:t xml:space="preserve"> view radiograph </w:t>
      </w:r>
      <w:r w:rsidRPr="005C3A36">
        <w:rPr>
          <w:sz w:val="22"/>
          <w:szCs w:val="22"/>
          <w:lang w:val="en-PH"/>
        </w:rPr>
        <w:t xml:space="preserve">showed </w:t>
      </w:r>
      <w:r w:rsidRPr="005C3A36">
        <w:rPr>
          <w:sz w:val="22"/>
          <w:szCs w:val="22"/>
        </w:rPr>
        <w:t xml:space="preserve">presence of bony sclerosis which represent a </w:t>
      </w:r>
      <w:proofErr w:type="spellStart"/>
      <w:r w:rsidRPr="005C3A36">
        <w:rPr>
          <w:sz w:val="22"/>
          <w:szCs w:val="22"/>
        </w:rPr>
        <w:t>sequestrum</w:t>
      </w:r>
      <w:proofErr w:type="spellEnd"/>
      <w:r w:rsidRPr="005C3A36">
        <w:rPr>
          <w:sz w:val="22"/>
          <w:szCs w:val="22"/>
        </w:rPr>
        <w:t xml:space="preserve"> compatible with chronic osteomyelitis in the molar area of the left hemi-mandible. Antibiotic infusion and excision and debridement of left posterior mandible were done. Necrotic bone with </w:t>
      </w:r>
      <w:proofErr w:type="spellStart"/>
      <w:r w:rsidRPr="005C3A36">
        <w:rPr>
          <w:sz w:val="22"/>
          <w:szCs w:val="22"/>
        </w:rPr>
        <w:t>histopathologic</w:t>
      </w:r>
      <w:proofErr w:type="spellEnd"/>
      <w:r w:rsidRPr="005C3A36">
        <w:rPr>
          <w:sz w:val="22"/>
          <w:szCs w:val="22"/>
        </w:rPr>
        <w:t xml:space="preserve"> finding of acute and chronic osteomyelitis with bacterial colonies was removed consistent with a diagnosis of osteonecrosis of the jaw. The patient was discharged on the fourth post-operative day and was placed on drug holiday.</w:t>
      </w:r>
    </w:p>
    <w:p w14:paraId="534E4F26" w14:textId="77777777" w:rsidR="00D779FE" w:rsidRPr="005C3A36" w:rsidRDefault="00D779FE" w:rsidP="00D779FE">
      <w:pPr>
        <w:spacing w:after="120"/>
        <w:jc w:val="both"/>
        <w:rPr>
          <w:color w:val="000000" w:themeColor="text1"/>
          <w:sz w:val="22"/>
          <w:szCs w:val="22"/>
        </w:rPr>
      </w:pPr>
      <w:r w:rsidRPr="005C3A36">
        <w:rPr>
          <w:b/>
          <w:sz w:val="22"/>
          <w:szCs w:val="22"/>
        </w:rPr>
        <w:t>Conclusion:</w:t>
      </w:r>
      <w:r w:rsidRPr="005C3A36">
        <w:rPr>
          <w:sz w:val="22"/>
          <w:szCs w:val="22"/>
        </w:rPr>
        <w:t xml:space="preserve"> ONJ and AFF can occur both in the same patient during prolonged treatment with bisphosphonates and </w:t>
      </w:r>
      <w:proofErr w:type="spellStart"/>
      <w:r w:rsidRPr="005C3A36">
        <w:rPr>
          <w:sz w:val="22"/>
          <w:szCs w:val="22"/>
        </w:rPr>
        <w:t>denosumab</w:t>
      </w:r>
      <w:proofErr w:type="spellEnd"/>
      <w:r w:rsidRPr="005C3A36">
        <w:rPr>
          <w:color w:val="000000" w:themeColor="text1"/>
          <w:sz w:val="22"/>
          <w:szCs w:val="22"/>
        </w:rPr>
        <w:t xml:space="preserve"> and may suggest a common pathogenic mechanism. This case further emphasized that bisphosphonates should be given in a limited period to avoid these consequences—five </w:t>
      </w:r>
      <w:bookmarkStart w:id="0" w:name="_GoBack"/>
      <w:r w:rsidRPr="005C3A36">
        <w:rPr>
          <w:color w:val="000000" w:themeColor="text1"/>
          <w:sz w:val="22"/>
          <w:szCs w:val="22"/>
        </w:rPr>
        <w:t>years as recommended by experts.</w:t>
      </w:r>
    </w:p>
    <w:bookmarkEnd w:id="0"/>
    <w:p w14:paraId="7E3F54BE" w14:textId="77777777" w:rsidR="00D779FE" w:rsidRDefault="00D779FE" w:rsidP="00D779FE">
      <w:pPr>
        <w:jc w:val="both"/>
        <w:rPr>
          <w:b/>
        </w:rPr>
      </w:pPr>
    </w:p>
    <w:p w14:paraId="5EA30B76" w14:textId="77777777" w:rsidR="00D779FE" w:rsidRPr="00D779FE" w:rsidRDefault="00D779FE" w:rsidP="00D779FE">
      <w:pPr>
        <w:jc w:val="both"/>
        <w:rPr>
          <w:b/>
          <w:sz w:val="22"/>
        </w:rPr>
      </w:pPr>
      <w:r w:rsidRPr="00D779FE">
        <w:rPr>
          <w:b/>
          <w:sz w:val="22"/>
        </w:rPr>
        <w:t>Biography</w:t>
      </w:r>
    </w:p>
    <w:p w14:paraId="2FFB933F" w14:textId="77777777" w:rsidR="00D779FE" w:rsidRPr="00D779FE" w:rsidRDefault="00D779FE" w:rsidP="00D779FE">
      <w:pPr>
        <w:rPr>
          <w:rFonts w:eastAsia="MS PGothic"/>
          <w:b/>
          <w:color w:val="000000"/>
          <w:sz w:val="22"/>
          <w:szCs w:val="32"/>
        </w:rPr>
      </w:pPr>
      <w:r w:rsidRPr="00D779FE">
        <w:rPr>
          <w:sz w:val="22"/>
        </w:rPr>
        <w:t xml:space="preserve">Dr. Edelissa F. Payumo is currently finishing her fellowship training in Endocrinology at the Makati Medical Center, Makati City, Philippines. She has finished her residency training in Internal Medicine at the </w:t>
      </w:r>
      <w:proofErr w:type="spellStart"/>
      <w:r w:rsidRPr="00D779FE">
        <w:rPr>
          <w:sz w:val="22"/>
        </w:rPr>
        <w:t>Ospital</w:t>
      </w:r>
      <w:proofErr w:type="spellEnd"/>
      <w:r w:rsidRPr="00D779FE">
        <w:rPr>
          <w:sz w:val="22"/>
        </w:rPr>
        <w:t xml:space="preserve"> ng </w:t>
      </w:r>
      <w:proofErr w:type="spellStart"/>
      <w:r w:rsidRPr="00D779FE">
        <w:rPr>
          <w:sz w:val="22"/>
        </w:rPr>
        <w:t>Maynila</w:t>
      </w:r>
      <w:proofErr w:type="spellEnd"/>
      <w:r w:rsidRPr="00D779FE">
        <w:rPr>
          <w:sz w:val="22"/>
        </w:rPr>
        <w:t xml:space="preserve"> Medical Center where she also served as chief resident. She got her medical degree at the </w:t>
      </w:r>
      <w:proofErr w:type="spellStart"/>
      <w:r w:rsidRPr="00D779FE">
        <w:rPr>
          <w:sz w:val="22"/>
        </w:rPr>
        <w:t>Pamantasan</w:t>
      </w:r>
      <w:proofErr w:type="spellEnd"/>
      <w:r w:rsidRPr="00D779FE">
        <w:rPr>
          <w:sz w:val="22"/>
        </w:rPr>
        <w:t xml:space="preserve"> ng </w:t>
      </w:r>
      <w:proofErr w:type="spellStart"/>
      <w:r w:rsidRPr="00D779FE">
        <w:rPr>
          <w:sz w:val="22"/>
        </w:rPr>
        <w:t>Lungsod</w:t>
      </w:r>
      <w:proofErr w:type="spellEnd"/>
      <w:r w:rsidRPr="00D779FE">
        <w:rPr>
          <w:sz w:val="22"/>
        </w:rPr>
        <w:t xml:space="preserve"> ng </w:t>
      </w:r>
      <w:proofErr w:type="spellStart"/>
      <w:r w:rsidRPr="00D779FE">
        <w:rPr>
          <w:sz w:val="22"/>
        </w:rPr>
        <w:t>Maynila</w:t>
      </w:r>
      <w:proofErr w:type="spellEnd"/>
      <w:r w:rsidRPr="00D779FE">
        <w:rPr>
          <w:sz w:val="22"/>
        </w:rPr>
        <w:t xml:space="preserve"> and </w:t>
      </w:r>
      <w:proofErr w:type="spellStart"/>
      <w:r w:rsidRPr="00D779FE">
        <w:rPr>
          <w:sz w:val="22"/>
        </w:rPr>
        <w:t>premedicine</w:t>
      </w:r>
      <w:proofErr w:type="spellEnd"/>
      <w:r w:rsidRPr="00D779FE">
        <w:rPr>
          <w:sz w:val="22"/>
        </w:rPr>
        <w:t xml:space="preserve"> degree at the University of the Philippines Manila where she graduated Cum Laude.</w:t>
      </w:r>
      <w:r w:rsidRPr="00D779FE">
        <w:rPr>
          <w:sz w:val="22"/>
        </w:rPr>
        <w:br/>
      </w:r>
    </w:p>
    <w:p w14:paraId="614CA882" w14:textId="77777777" w:rsidR="00D779FE" w:rsidRPr="00D779FE" w:rsidRDefault="00D779FE" w:rsidP="00D779FE">
      <w:pPr>
        <w:autoSpaceDE w:val="0"/>
        <w:autoSpaceDN w:val="0"/>
        <w:adjustRightInd w:val="0"/>
        <w:rPr>
          <w:b/>
          <w:sz w:val="22"/>
          <w:lang w:val="en-NZ"/>
        </w:rPr>
      </w:pPr>
      <w:r w:rsidRPr="00D779FE">
        <w:rPr>
          <w:b/>
          <w:sz w:val="22"/>
          <w:lang w:val="en-NZ"/>
        </w:rPr>
        <w:lastRenderedPageBreak/>
        <w:t xml:space="preserve">Presenting author details </w:t>
      </w:r>
      <w:r w:rsidRPr="00D779FE">
        <w:rPr>
          <w:b/>
          <w:sz w:val="22"/>
          <w:lang w:val="en-NZ"/>
        </w:rPr>
        <w:br/>
      </w:r>
      <w:r w:rsidRPr="00D779FE">
        <w:rPr>
          <w:sz w:val="22"/>
          <w:lang w:val="en-NZ"/>
        </w:rPr>
        <w:t xml:space="preserve">Full name: </w:t>
      </w:r>
      <w:r w:rsidRPr="00D779FE">
        <w:rPr>
          <w:sz w:val="22"/>
          <w:lang w:val="en-NZ"/>
        </w:rPr>
        <w:t>Edelissa F. Payumo</w:t>
      </w:r>
      <w:r w:rsidRPr="00D779FE">
        <w:rPr>
          <w:sz w:val="22"/>
          <w:lang w:val="en-NZ"/>
        </w:rPr>
        <w:br/>
        <w:t>Contact number:</w:t>
      </w:r>
      <w:r w:rsidRPr="00D779FE">
        <w:rPr>
          <w:sz w:val="22"/>
          <w:lang w:val="en-NZ"/>
        </w:rPr>
        <w:t xml:space="preserve"> +639954171018 / +63925095615</w:t>
      </w:r>
      <w:r w:rsidRPr="00D779FE">
        <w:rPr>
          <w:sz w:val="22"/>
          <w:lang w:val="en-NZ"/>
        </w:rPr>
        <w:br/>
        <w:t>Twitter account:</w:t>
      </w:r>
      <w:r w:rsidRPr="00D779FE">
        <w:rPr>
          <w:sz w:val="22"/>
          <w:lang w:val="en-NZ"/>
        </w:rPr>
        <w:t xml:space="preserve"> none</w:t>
      </w:r>
      <w:r w:rsidRPr="00D779FE">
        <w:rPr>
          <w:sz w:val="22"/>
          <w:lang w:val="en-NZ"/>
        </w:rPr>
        <w:br/>
        <w:t xml:space="preserve">Linked In </w:t>
      </w:r>
      <w:proofErr w:type="spellStart"/>
      <w:r w:rsidRPr="00D779FE">
        <w:rPr>
          <w:sz w:val="22"/>
          <w:lang w:val="en-NZ"/>
        </w:rPr>
        <w:t>account:</w:t>
      </w:r>
      <w:r w:rsidRPr="00D779FE">
        <w:rPr>
          <w:sz w:val="22"/>
          <w:lang w:val="en-NZ"/>
        </w:rPr>
        <w:t>none</w:t>
      </w:r>
      <w:proofErr w:type="spellEnd"/>
    </w:p>
    <w:p w14:paraId="54E96E26" w14:textId="77777777" w:rsidR="00D779FE" w:rsidRDefault="00D779FE" w:rsidP="00D779FE">
      <w:pPr>
        <w:autoSpaceDE w:val="0"/>
        <w:autoSpaceDN w:val="0"/>
        <w:adjustRightInd w:val="0"/>
        <w:rPr>
          <w:lang w:val="en-NZ"/>
        </w:rPr>
      </w:pPr>
      <w:r w:rsidRPr="00D779FE">
        <w:rPr>
          <w:sz w:val="22"/>
          <w:lang w:val="en-NZ"/>
        </w:rPr>
        <w:t>Session name/ number:</w:t>
      </w:r>
      <w:r w:rsidRPr="00D779FE">
        <w:rPr>
          <w:sz w:val="22"/>
          <w:lang w:val="en-NZ"/>
        </w:rPr>
        <w:t xml:space="preserve"> Obesity and Metabolic Disorders</w:t>
      </w:r>
      <w:r w:rsidRPr="00D779FE">
        <w:rPr>
          <w:sz w:val="22"/>
          <w:lang w:val="en-NZ"/>
        </w:rPr>
        <w:br/>
        <w:t>Category: Poster presentation</w:t>
      </w:r>
      <w:r w:rsidRPr="00D779FE">
        <w:rPr>
          <w:sz w:val="22"/>
          <w:lang w:val="en-NZ"/>
        </w:rPr>
        <w:br/>
      </w:r>
    </w:p>
    <w:p w14:paraId="1A33895D" w14:textId="77777777" w:rsidR="009F64C6" w:rsidRDefault="00D779FE"/>
    <w:sectPr w:rsidR="009F64C6" w:rsidSect="000272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9FE"/>
    <w:rsid w:val="000272A7"/>
    <w:rsid w:val="00037CD5"/>
    <w:rsid w:val="00D77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7A6F7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9F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447</Words>
  <Characters>2554</Characters>
  <Application>Microsoft Macintosh Word</Application>
  <DocSecurity>0</DocSecurity>
  <Lines>21</Lines>
  <Paragraphs>5</Paragraphs>
  <ScaleCrop>false</ScaleCrop>
  <LinksUpToDate>false</LinksUpToDate>
  <CharactersWithSpaces>2996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 Mon</dc:creator>
  <cp:keywords/>
  <dc:description/>
  <cp:lastModifiedBy>Bay Mon</cp:lastModifiedBy>
  <cp:revision>1</cp:revision>
  <dcterms:created xsi:type="dcterms:W3CDTF">2017-05-03T10:24:00Z</dcterms:created>
  <dcterms:modified xsi:type="dcterms:W3CDTF">2017-05-03T10:38:00Z</dcterms:modified>
</cp:coreProperties>
</file>