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480" w:lineRule="auto"/>
        <w:jc w:val="left"/>
        <w:rPr>
          <w:rStyle w:val="4"/>
          <w:rFonts w:hint="eastAsia"/>
          <w:b/>
          <w:bCs/>
          <w:color w:val="000000"/>
          <w:sz w:val="24"/>
        </w:rPr>
      </w:pPr>
      <w:bookmarkStart w:id="0" w:name="OLE_LINK30"/>
      <w:bookmarkStart w:id="1" w:name="OLE_LINK31"/>
      <w:bookmarkStart w:id="2" w:name="OLE_LINK58"/>
      <w:bookmarkStart w:id="3" w:name="OLE_LINK59"/>
      <w:r>
        <w:rPr>
          <w:rStyle w:val="4"/>
          <w:rFonts w:hint="eastAsia"/>
          <w:b/>
          <w:bCs/>
          <w:color w:val="000000"/>
          <w:sz w:val="24"/>
        </w:rPr>
        <w:t>Short-Term Effects</w:t>
      </w:r>
      <w:bookmarkEnd w:id="0"/>
      <w:bookmarkEnd w:id="1"/>
      <w:r>
        <w:rPr>
          <w:rStyle w:val="4"/>
          <w:rFonts w:hint="eastAsia"/>
          <w:b/>
          <w:bCs/>
          <w:color w:val="000000"/>
          <w:sz w:val="24"/>
        </w:rPr>
        <w:t xml:space="preserve"> of Extracorporeal Shock Wave Therapy on Bone Mineral Density in </w:t>
      </w:r>
      <w:bookmarkStart w:id="4" w:name="OLE_LINK33"/>
      <w:bookmarkStart w:id="5" w:name="OLE_LINK32"/>
      <w:r>
        <w:rPr>
          <w:rStyle w:val="4"/>
          <w:rFonts w:hint="eastAsia"/>
          <w:b/>
          <w:bCs/>
          <w:color w:val="000000"/>
          <w:sz w:val="24"/>
        </w:rPr>
        <w:t>Postmenopausal</w:t>
      </w:r>
      <w:bookmarkEnd w:id="4"/>
      <w:bookmarkEnd w:id="5"/>
      <w:r>
        <w:rPr>
          <w:rStyle w:val="4"/>
          <w:rFonts w:hint="eastAsia"/>
          <w:b/>
          <w:bCs/>
          <w:color w:val="000000"/>
          <w:sz w:val="24"/>
        </w:rPr>
        <w:t xml:space="preserve"> Osteoporotic Patients</w:t>
      </w:r>
    </w:p>
    <w:bookmarkEnd w:id="2"/>
    <w:bookmarkEnd w:id="3"/>
    <w:p>
      <w:pPr>
        <w:widowControl/>
        <w:snapToGrid w:val="0"/>
        <w:spacing w:line="480" w:lineRule="auto"/>
        <w:jc w:val="left"/>
        <w:rPr>
          <w:rStyle w:val="4"/>
          <w:rFonts w:hint="eastAsia"/>
          <w:color w:val="000000"/>
          <w:sz w:val="24"/>
        </w:rPr>
      </w:pPr>
    </w:p>
    <w:p>
      <w:pPr>
        <w:widowControl/>
        <w:snapToGrid w:val="0"/>
        <w:spacing w:line="480" w:lineRule="auto"/>
        <w:jc w:val="left"/>
        <w:rPr>
          <w:rStyle w:val="4"/>
          <w:rFonts w:hint="eastAsia"/>
          <w:color w:val="000000"/>
          <w:sz w:val="24"/>
        </w:rPr>
      </w:pPr>
      <w:r>
        <w:rPr>
          <w:rStyle w:val="4"/>
          <w:rFonts w:hint="eastAsia"/>
          <w:color w:val="000000"/>
          <w:sz w:val="24"/>
        </w:rPr>
        <w:t>Fuqiang Gao</w:t>
      </w:r>
      <w:r>
        <w:rPr>
          <w:rStyle w:val="4"/>
          <w:rFonts w:hint="eastAsia"/>
          <w:color w:val="000000"/>
          <w:sz w:val="24"/>
          <w:vertAlign w:val="superscript"/>
        </w:rPr>
        <w:t>*</w:t>
      </w:r>
      <w:r>
        <w:rPr>
          <w:rStyle w:val="4"/>
          <w:rFonts w:hint="eastAsia"/>
          <w:color w:val="000000"/>
          <w:sz w:val="24"/>
        </w:rPr>
        <w:t>, MD, Wei Sun</w:t>
      </w:r>
      <w:r>
        <w:rPr>
          <w:rStyle w:val="4"/>
          <w:rFonts w:hint="eastAsia"/>
          <w:color w:val="000000"/>
          <w:sz w:val="24"/>
          <w:vertAlign w:val="superscript"/>
        </w:rPr>
        <w:t>†</w:t>
      </w:r>
      <w:r>
        <w:rPr>
          <w:rStyle w:val="4"/>
          <w:rFonts w:hint="eastAsia"/>
          <w:color w:val="000000"/>
          <w:sz w:val="24"/>
        </w:rPr>
        <w:t>, MD, Zirong Li, MD.</w:t>
      </w:r>
    </w:p>
    <w:p>
      <w:pPr>
        <w:widowControl/>
        <w:snapToGrid w:val="0"/>
        <w:spacing w:line="480" w:lineRule="auto"/>
        <w:jc w:val="left"/>
        <w:rPr>
          <w:rStyle w:val="4"/>
          <w:rFonts w:hint="eastAsia"/>
          <w:color w:val="000000"/>
          <w:sz w:val="24"/>
        </w:rPr>
      </w:pPr>
    </w:p>
    <w:p>
      <w:pPr>
        <w:widowControl/>
        <w:snapToGrid w:val="0"/>
        <w:spacing w:line="480" w:lineRule="auto"/>
        <w:jc w:val="left"/>
        <w:rPr>
          <w:rStyle w:val="4"/>
          <w:color w:val="000000"/>
          <w:sz w:val="24"/>
        </w:rPr>
      </w:pPr>
      <w:r>
        <w:rPr>
          <w:rStyle w:val="4"/>
          <w:rFonts w:hint="eastAsia"/>
          <w:color w:val="000000"/>
          <w:sz w:val="24"/>
        </w:rPr>
        <w:t>Centre for Osteonecrosis and Joint-Preserving &amp; Reconstruction, Department of Orthopedic Surgery, Beijing Key Laboratory of Arthritic and Rheumatic Diseases, China-Japan Friendship Hospital, National Health and Family Planning Commission of the People's Republic of China, Beijing 100029, China</w:t>
      </w:r>
    </w:p>
    <w:p>
      <w:pPr>
        <w:widowControl/>
        <w:snapToGrid w:val="0"/>
        <w:spacing w:line="480" w:lineRule="auto"/>
        <w:jc w:val="left"/>
        <w:rPr>
          <w:rStyle w:val="4"/>
          <w:rFonts w:hint="eastAsia"/>
          <w:color w:val="000000"/>
          <w:sz w:val="24"/>
        </w:rPr>
      </w:pPr>
      <w:r>
        <w:rPr>
          <w:rStyle w:val="4"/>
          <w:rFonts w:hint="eastAsia"/>
          <w:color w:val="000000"/>
          <w:sz w:val="24"/>
          <w:vertAlign w:val="superscript"/>
        </w:rPr>
        <w:t>*</w:t>
      </w:r>
      <w:r>
        <w:rPr>
          <w:rStyle w:val="4"/>
          <w:rFonts w:hint="eastAsia"/>
          <w:color w:val="000000"/>
          <w:sz w:val="24"/>
        </w:rPr>
        <w:t xml:space="preserve"> </w:t>
      </w:r>
      <w:r>
        <w:rPr>
          <w:rStyle w:val="4"/>
          <w:rFonts w:hint="eastAsia"/>
          <w:color w:val="000000"/>
          <w:sz w:val="24"/>
          <w:lang w:val="en-US" w:eastAsia="zh-CN"/>
        </w:rPr>
        <w:t>F</w:t>
      </w:r>
      <w:r>
        <w:rPr>
          <w:rStyle w:val="4"/>
          <w:rFonts w:hint="eastAsia"/>
          <w:color w:val="000000"/>
          <w:sz w:val="24"/>
        </w:rPr>
        <w:t>irst author</w:t>
      </w:r>
    </w:p>
    <w:p>
      <w:pPr>
        <w:widowControl/>
        <w:snapToGrid w:val="0"/>
        <w:spacing w:line="480" w:lineRule="auto"/>
        <w:jc w:val="left"/>
        <w:rPr>
          <w:rStyle w:val="4"/>
          <w:rFonts w:hint="eastAsia"/>
          <w:color w:val="000000"/>
          <w:sz w:val="24"/>
        </w:rPr>
      </w:pPr>
      <w:r>
        <w:rPr>
          <w:rStyle w:val="4"/>
          <w:rFonts w:hint="eastAsia"/>
          <w:color w:val="000000"/>
          <w:sz w:val="24"/>
        </w:rPr>
        <w:t>Fuqiang Gao, MD. Department of Orthopedic Surgery, China-Japan Friendship Hospital, Beijing 100029, China; Email: gaofuqiang@bjmu.edu.cn</w:t>
      </w:r>
      <w:bookmarkStart w:id="32" w:name="_GoBack"/>
      <w:bookmarkEnd w:id="32"/>
      <w:r>
        <w:rPr>
          <w:rStyle w:val="4"/>
          <w:rFonts w:hint="eastAsia"/>
          <w:color w:val="000000"/>
          <w:sz w:val="24"/>
        </w:rPr>
        <w:t xml:space="preserve"> </w:t>
      </w:r>
    </w:p>
    <w:p>
      <w:pPr>
        <w:widowControl/>
        <w:snapToGrid w:val="0"/>
        <w:spacing w:line="480" w:lineRule="auto"/>
        <w:jc w:val="left"/>
        <w:rPr>
          <w:rStyle w:val="4"/>
          <w:rFonts w:hint="eastAsia"/>
          <w:color w:val="000000"/>
          <w:sz w:val="24"/>
        </w:rPr>
      </w:pPr>
      <w:r>
        <w:rPr>
          <w:rStyle w:val="4"/>
          <w:rFonts w:hint="eastAsia"/>
          <w:color w:val="000000"/>
          <w:sz w:val="24"/>
          <w:vertAlign w:val="superscript"/>
        </w:rPr>
        <w:t>†</w:t>
      </w:r>
      <w:r>
        <w:rPr>
          <w:rStyle w:val="4"/>
          <w:rFonts w:hint="eastAsia"/>
          <w:color w:val="000000"/>
          <w:sz w:val="24"/>
        </w:rPr>
        <w:t xml:space="preserve"> Correspondence to: Wei Sun, MD. Department of Orthopedic Surgery, China-Japan Friendship Hospital, Beijing 100029, China; Email: </w:t>
      </w:r>
      <w:r>
        <w:rPr>
          <w:rStyle w:val="4"/>
          <w:rFonts w:hint="eastAsia"/>
          <w:color w:val="000000"/>
          <w:sz w:val="24"/>
          <w:lang w:val="en-US" w:eastAsia="zh-CN"/>
        </w:rPr>
        <w:t>18901267995</w:t>
      </w:r>
      <w:r>
        <w:rPr>
          <w:rStyle w:val="4"/>
          <w:rFonts w:hint="eastAsia"/>
          <w:color w:val="000000"/>
          <w:sz w:val="24"/>
        </w:rPr>
        <w:t>@163.com</w:t>
      </w:r>
    </w:p>
    <w:p>
      <w:pPr>
        <w:spacing w:line="240" w:lineRule="atLeast"/>
        <w:rPr>
          <w:color w:val="000000"/>
          <w:sz w:val="24"/>
        </w:rPr>
      </w:pPr>
    </w:p>
    <w:p/>
    <w:p/>
    <w:p/>
    <w:p/>
    <w:p/>
    <w:p/>
    <w:p/>
    <w:p/>
    <w:p/>
    <w:p/>
    <w:p/>
    <w:p/>
    <w:p/>
    <w:p/>
    <w:p/>
    <w:p/>
    <w:p/>
    <w:p>
      <w:pPr>
        <w:rPr>
          <w:rFonts w:hint="eastAsia"/>
        </w:rPr>
      </w:pPr>
    </w:p>
    <w:p>
      <w:pPr>
        <w:spacing w:line="360" w:lineRule="auto"/>
        <w:rPr>
          <w:b/>
          <w:szCs w:val="21"/>
        </w:rPr>
      </w:pPr>
      <w:r>
        <w:rPr>
          <w:b/>
          <w:szCs w:val="21"/>
        </w:rPr>
        <w:t>Abstract</w:t>
      </w:r>
    </w:p>
    <w:p>
      <w:pPr>
        <w:spacing w:line="360" w:lineRule="auto"/>
        <w:rPr>
          <w:szCs w:val="21"/>
        </w:rPr>
      </w:pPr>
      <w:r>
        <w:rPr>
          <w:i/>
          <w:szCs w:val="21"/>
        </w:rPr>
        <w:t>Purpose</w:t>
      </w:r>
      <w:r>
        <w:rPr>
          <w:szCs w:val="21"/>
        </w:rPr>
        <w:t xml:space="preserve"> The purpose of this study was to evaluate the short-term effectiveness of </w:t>
      </w:r>
      <w:bookmarkStart w:id="6" w:name="OLE_LINK23"/>
      <w:bookmarkStart w:id="7" w:name="OLE_LINK22"/>
      <w:bookmarkStart w:id="8" w:name="OLE_LINK20"/>
      <w:bookmarkStart w:id="9" w:name="OLE_LINK21"/>
      <w:r>
        <w:rPr>
          <w:szCs w:val="21"/>
        </w:rPr>
        <w:t>extracorporeal shock wave</w:t>
      </w:r>
      <w:bookmarkEnd w:id="6"/>
      <w:bookmarkEnd w:id="7"/>
      <w:r>
        <w:rPr>
          <w:szCs w:val="21"/>
        </w:rPr>
        <w:t xml:space="preserve"> therapy </w:t>
      </w:r>
      <w:bookmarkStart w:id="10" w:name="OLE_LINK13"/>
      <w:bookmarkStart w:id="11" w:name="OLE_LINK14"/>
      <w:r>
        <w:rPr>
          <w:szCs w:val="21"/>
        </w:rPr>
        <w:t xml:space="preserve">(ESWT) </w:t>
      </w:r>
      <w:bookmarkEnd w:id="8"/>
      <w:bookmarkEnd w:id="9"/>
      <w:bookmarkEnd w:id="10"/>
      <w:bookmarkEnd w:id="11"/>
      <w:r>
        <w:rPr>
          <w:szCs w:val="21"/>
        </w:rPr>
        <w:t>on improving bone mineral density (BMD) of hip in postmenopausal women with</w:t>
      </w:r>
      <w:bookmarkStart w:id="12" w:name="OLE_LINK3"/>
      <w:bookmarkStart w:id="13" w:name="OLE_LINK4"/>
      <w:r>
        <w:rPr>
          <w:szCs w:val="21"/>
        </w:rPr>
        <w:t xml:space="preserve"> osteoporosis</w:t>
      </w:r>
      <w:bookmarkEnd w:id="12"/>
      <w:bookmarkEnd w:id="13"/>
      <w:r>
        <w:rPr>
          <w:szCs w:val="21"/>
        </w:rPr>
        <w:t xml:space="preserve"> through one-year follow-up. </w:t>
      </w:r>
    </w:p>
    <w:p>
      <w:pPr>
        <w:spacing w:line="360" w:lineRule="auto"/>
        <w:rPr>
          <w:szCs w:val="21"/>
        </w:rPr>
      </w:pPr>
      <w:r>
        <w:rPr>
          <w:i/>
          <w:szCs w:val="21"/>
        </w:rPr>
        <w:t xml:space="preserve">Subjects and Methods </w:t>
      </w:r>
      <w:r>
        <w:rPr>
          <w:szCs w:val="21"/>
        </w:rPr>
        <w:t>Throughout the year 2015, a total of 65 postmenopausal patients in our institution who suffer from</w:t>
      </w:r>
      <w:r>
        <w:rPr>
          <w:rFonts w:hint="eastAsia"/>
          <w:szCs w:val="21"/>
        </w:rPr>
        <w:t xml:space="preserve"> </w:t>
      </w:r>
      <w:r>
        <w:rPr>
          <w:szCs w:val="21"/>
        </w:rPr>
        <w:t>osteoporosis were</w:t>
      </w:r>
      <w:r>
        <w:t xml:space="preserve"> </w:t>
      </w:r>
      <w:r>
        <w:rPr>
          <w:szCs w:val="21"/>
        </w:rPr>
        <w:t>involved in the trial and were randomized into 3</w:t>
      </w:r>
      <w:r>
        <w:rPr>
          <w:rFonts w:hint="eastAsia"/>
          <w:szCs w:val="21"/>
        </w:rPr>
        <w:t xml:space="preserve"> </w:t>
      </w:r>
      <w:r>
        <w:rPr>
          <w:szCs w:val="21"/>
        </w:rPr>
        <w:t>groups. Group A (n = 20) and B (n = 2</w:t>
      </w:r>
      <w:r>
        <w:rPr>
          <w:rFonts w:hint="eastAsia"/>
          <w:szCs w:val="21"/>
          <w:lang w:val="en-US" w:eastAsia="zh-CN"/>
        </w:rPr>
        <w:t>2</w:t>
      </w:r>
      <w:r>
        <w:rPr>
          <w:szCs w:val="21"/>
        </w:rPr>
        <w:t>) patients received a single-session of low</w:t>
      </w:r>
      <w:bookmarkStart w:id="14" w:name="OLE_LINK19"/>
      <w:bookmarkStart w:id="15" w:name="OLE_LINK18"/>
      <w:r>
        <w:rPr>
          <w:szCs w:val="21"/>
        </w:rPr>
        <w:t xml:space="preserve"> energy </w:t>
      </w:r>
      <w:bookmarkStart w:id="16" w:name="OLE_LINK10"/>
      <w:bookmarkStart w:id="17" w:name="OLE_LINK9"/>
      <w:r>
        <w:rPr>
          <w:szCs w:val="21"/>
        </w:rPr>
        <w:t>flux density</w:t>
      </w:r>
      <w:bookmarkStart w:id="18" w:name="OLE_LINK11"/>
      <w:bookmarkStart w:id="19" w:name="OLE_LINK12"/>
      <w:bookmarkEnd w:id="14"/>
      <w:bookmarkEnd w:id="15"/>
      <w:bookmarkEnd w:id="16"/>
      <w:bookmarkEnd w:id="17"/>
      <w:r>
        <w:rPr>
          <w:szCs w:val="21"/>
        </w:rPr>
        <w:t xml:space="preserve"> (EFD, per shock </w:t>
      </w:r>
      <w:r>
        <w:rPr>
          <w:rFonts w:hint="eastAsia"/>
          <w:szCs w:val="21"/>
        </w:rPr>
        <w:t>0.15</w:t>
      </w:r>
      <w:r>
        <w:rPr>
          <w:szCs w:val="21"/>
        </w:rPr>
        <w:t xml:space="preserve"> mJ/mm</w:t>
      </w:r>
      <w:r>
        <w:rPr>
          <w:szCs w:val="21"/>
          <w:vertAlign w:val="superscript"/>
        </w:rPr>
        <w:t>2</w:t>
      </w:r>
      <w:r>
        <w:rPr>
          <w:szCs w:val="21"/>
        </w:rPr>
        <w:t>)</w:t>
      </w:r>
      <w:bookmarkEnd w:id="18"/>
      <w:bookmarkEnd w:id="19"/>
      <w:r>
        <w:rPr>
          <w:szCs w:val="21"/>
        </w:rPr>
        <w:t xml:space="preserve"> ESWT and</w:t>
      </w:r>
      <w:bookmarkStart w:id="20" w:name="OLE_LINK36"/>
      <w:bookmarkStart w:id="21" w:name="OLE_LINK37"/>
      <w:r>
        <w:rPr>
          <w:szCs w:val="21"/>
        </w:rPr>
        <w:t xml:space="preserve"> high energy flux density</w:t>
      </w:r>
      <w:bookmarkEnd w:id="20"/>
      <w:bookmarkEnd w:id="21"/>
      <w:r>
        <w:rPr>
          <w:szCs w:val="21"/>
        </w:rPr>
        <w:t xml:space="preserve"> (EFD, per shock 0.</w:t>
      </w:r>
      <w:r>
        <w:rPr>
          <w:rFonts w:hint="eastAsia"/>
          <w:szCs w:val="21"/>
          <w:lang w:val="en-US" w:eastAsia="zh-CN"/>
        </w:rPr>
        <w:t>28</w:t>
      </w:r>
      <w:r>
        <w:rPr>
          <w:szCs w:val="21"/>
        </w:rPr>
        <w:t xml:space="preserve"> mJ/mm</w:t>
      </w:r>
      <w:r>
        <w:rPr>
          <w:szCs w:val="21"/>
          <w:vertAlign w:val="superscript"/>
        </w:rPr>
        <w:t>2</w:t>
      </w:r>
      <w:r>
        <w:rPr>
          <w:szCs w:val="21"/>
        </w:rPr>
        <w:t xml:space="preserve">) ESWT in the </w:t>
      </w:r>
      <w:r>
        <w:rPr>
          <w:rFonts w:hint="eastAsia"/>
          <w:szCs w:val="21"/>
          <w:lang w:eastAsia="zh-CN"/>
        </w:rPr>
        <w:t>left</w:t>
      </w:r>
      <w:r>
        <w:rPr>
          <w:szCs w:val="21"/>
        </w:rPr>
        <w:t xml:space="preserve"> hip combined with </w:t>
      </w:r>
      <w:bookmarkStart w:id="22" w:name="OLE_LINK8"/>
      <w:bookmarkStart w:id="23" w:name="OLE_LINK7"/>
      <w:r>
        <w:rPr>
          <w:szCs w:val="21"/>
        </w:rPr>
        <w:t>oral alendronate sodium</w:t>
      </w:r>
      <w:bookmarkEnd w:id="22"/>
      <w:bookmarkEnd w:id="23"/>
      <w:r>
        <w:rPr>
          <w:szCs w:val="21"/>
        </w:rPr>
        <w:t>, respectively. Group C (n = 23) patients received oral alendronate sodium alone. The duration of this drug for all the patients was one year (70 mg po qw)</w:t>
      </w:r>
      <w:r>
        <w:rPr>
          <w:rFonts w:hint="eastAsia"/>
          <w:szCs w:val="21"/>
        </w:rPr>
        <w:t>. Bone mineral density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(BMD)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of lumbar spine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(L2-L4)</w:t>
      </w:r>
      <w:r>
        <w:rPr>
          <w:szCs w:val="21"/>
        </w:rPr>
        <w:t>, femoral neck, great tuberosity,</w:t>
      </w:r>
      <w:r>
        <w:rPr>
          <w:rFonts w:hint="eastAsia"/>
          <w:szCs w:val="21"/>
        </w:rPr>
        <w:t xml:space="preserve"> and </w:t>
      </w:r>
      <w:r>
        <w:rPr>
          <w:szCs w:val="21"/>
        </w:rPr>
        <w:t xml:space="preserve">total </w:t>
      </w:r>
      <w:r>
        <w:rPr>
          <w:rFonts w:hint="eastAsia"/>
          <w:szCs w:val="21"/>
          <w:lang w:eastAsia="zh-CN"/>
        </w:rPr>
        <w:t>left</w:t>
      </w:r>
      <w:r>
        <w:rPr>
          <w:szCs w:val="21"/>
        </w:rPr>
        <w:t xml:space="preserve"> hip</w:t>
      </w:r>
      <w:r>
        <w:rPr>
          <w:rFonts w:hint="eastAsia"/>
          <w:szCs w:val="21"/>
        </w:rPr>
        <w:t xml:space="preserve"> was measured before ESWT </w:t>
      </w:r>
      <w:r>
        <w:rPr>
          <w:szCs w:val="21"/>
        </w:rPr>
        <w:t xml:space="preserve">treatment </w:t>
      </w:r>
      <w:r>
        <w:rPr>
          <w:rFonts w:hint="eastAsia"/>
          <w:szCs w:val="21"/>
        </w:rPr>
        <w:t xml:space="preserve">and at </w:t>
      </w:r>
      <w:bookmarkStart w:id="24" w:name="OLE_LINK16"/>
      <w:bookmarkStart w:id="25" w:name="OLE_LINK17"/>
      <w:r>
        <w:rPr>
          <w:szCs w:val="21"/>
        </w:rPr>
        <w:t xml:space="preserve">3, 6, and </w:t>
      </w:r>
      <w:bookmarkStart w:id="26" w:name="OLE_LINK62"/>
      <w:bookmarkStart w:id="27" w:name="OLE_LINK63"/>
      <w:r>
        <w:rPr>
          <w:szCs w:val="21"/>
        </w:rPr>
        <w:t>12 months</w:t>
      </w:r>
      <w:bookmarkEnd w:id="24"/>
      <w:bookmarkEnd w:id="25"/>
      <w:bookmarkEnd w:id="26"/>
      <w:bookmarkEnd w:id="27"/>
      <w:r>
        <w:rPr>
          <w:szCs w:val="21"/>
        </w:rPr>
        <w:t xml:space="preserve"> using dual energy X-ray absofptiometry (DEXA), which was used to assess the clinical effect of ESWT on bone mass.</w:t>
      </w:r>
    </w:p>
    <w:p>
      <w:pPr>
        <w:spacing w:line="360" w:lineRule="auto"/>
        <w:rPr>
          <w:szCs w:val="21"/>
        </w:rPr>
      </w:pPr>
      <w:r>
        <w:rPr>
          <w:i/>
          <w:szCs w:val="21"/>
        </w:rPr>
        <w:t>Results</w:t>
      </w:r>
      <w:r>
        <w:rPr>
          <w:szCs w:val="21"/>
        </w:rPr>
        <w:t xml:space="preserve"> Total 62 patients entered the result analysis finally, two cases lost follow-up. At 12 months, </w:t>
      </w:r>
      <w:bookmarkStart w:id="28" w:name="OLE_LINK65"/>
      <w:bookmarkStart w:id="29" w:name="OLE_LINK66"/>
      <w:r>
        <w:rPr>
          <w:szCs w:val="21"/>
        </w:rPr>
        <w:t xml:space="preserve">the BMD of lumbar spine (L2-L4) in </w:t>
      </w:r>
      <w:bookmarkStart w:id="30" w:name="OLE_LINK38"/>
      <w:bookmarkStart w:id="31" w:name="OLE_LINK39"/>
      <w:r>
        <w:rPr>
          <w:szCs w:val="21"/>
        </w:rPr>
        <w:t>group A ,</w:t>
      </w:r>
      <w:r>
        <w:t xml:space="preserve"> </w:t>
      </w:r>
      <w:r>
        <w:rPr>
          <w:szCs w:val="21"/>
        </w:rPr>
        <w:t xml:space="preserve">group B and group C patients increased by </w:t>
      </w:r>
      <w:bookmarkEnd w:id="30"/>
      <w:bookmarkEnd w:id="31"/>
      <w:r>
        <w:rPr>
          <w:szCs w:val="21"/>
        </w:rPr>
        <w:t>8.9</w:t>
      </w:r>
      <w:r>
        <w:rPr>
          <w:rFonts w:hint="eastAsia"/>
          <w:szCs w:val="21"/>
        </w:rPr>
        <w:t>±1.1%</w:t>
      </w:r>
      <w:r>
        <w:rPr>
          <w:szCs w:val="21"/>
        </w:rPr>
        <w:t>,</w:t>
      </w:r>
      <w:r>
        <w:t xml:space="preserve"> </w:t>
      </w:r>
      <w:r>
        <w:rPr>
          <w:szCs w:val="21"/>
        </w:rPr>
        <w:t>6.3±6.0% and 8.5±0.7%, respectively, which was similar in all the three groups(p = 0.25, group A vs C; p = 0.12, group B vs C;</w:t>
      </w:r>
      <w:r>
        <w:t xml:space="preserve"> </w:t>
      </w:r>
      <w:r>
        <w:rPr>
          <w:szCs w:val="21"/>
        </w:rPr>
        <w:t>p = 0.082,</w:t>
      </w:r>
      <w:r>
        <w:t xml:space="preserve"> </w:t>
      </w:r>
      <w:r>
        <w:rPr>
          <w:szCs w:val="21"/>
        </w:rPr>
        <w:t>group A vs B). Femoral neck BMD</w:t>
      </w:r>
      <w:r>
        <w:t xml:space="preserve"> </w:t>
      </w:r>
      <w:r>
        <w:rPr>
          <w:szCs w:val="21"/>
        </w:rPr>
        <w:t>in the group B increased by 13.8±0.8%, which was higher than that in either group A (8.3±0.8%, p</w:t>
      </w:r>
      <w:r>
        <w:rPr>
          <w:rFonts w:hint="eastAsia" w:ascii="宋体" w:hAnsi="宋体"/>
          <w:szCs w:val="21"/>
        </w:rPr>
        <w:t>＜0.01</w:t>
      </w:r>
      <w:r>
        <w:rPr>
          <w:szCs w:val="21"/>
        </w:rPr>
        <w:t xml:space="preserve"> ) or group C (3.9±0.8%,</w:t>
      </w:r>
      <w:r>
        <w:rPr>
          <w:rFonts w:hint="eastAsia"/>
        </w:rPr>
        <w:t xml:space="preserve"> </w:t>
      </w:r>
      <w:r>
        <w:rPr>
          <w:rFonts w:hint="eastAsia"/>
          <w:szCs w:val="21"/>
        </w:rPr>
        <w:t>p＜0.01</w:t>
      </w:r>
      <w:r>
        <w:rPr>
          <w:szCs w:val="21"/>
        </w:rPr>
        <w:t xml:space="preserve">) patients. Great tuberosity </w:t>
      </w:r>
      <w:r>
        <w:rPr>
          <w:rFonts w:hint="eastAsia"/>
          <w:szCs w:val="21"/>
        </w:rPr>
        <w:t xml:space="preserve">BMD in the group B increased by </w:t>
      </w:r>
      <w:r>
        <w:rPr>
          <w:szCs w:val="21"/>
        </w:rPr>
        <w:t>15.3±1.1%</w:t>
      </w:r>
      <w:r>
        <w:rPr>
          <w:rFonts w:hint="eastAsia"/>
          <w:szCs w:val="21"/>
        </w:rPr>
        <w:t>, which was higher than that in either group A (</w:t>
      </w:r>
      <w:r>
        <w:rPr>
          <w:szCs w:val="21"/>
        </w:rPr>
        <w:t>8.5±0.6%</w:t>
      </w:r>
      <w:r>
        <w:rPr>
          <w:rFonts w:hint="eastAsia"/>
          <w:szCs w:val="21"/>
        </w:rPr>
        <w:t>, p＜0.01 ) or group C (</w:t>
      </w:r>
      <w:r>
        <w:rPr>
          <w:szCs w:val="21"/>
        </w:rPr>
        <w:t>6.0±0.9%</w:t>
      </w:r>
      <w:r>
        <w:rPr>
          <w:rFonts w:hint="eastAsia"/>
          <w:szCs w:val="21"/>
        </w:rPr>
        <w:t xml:space="preserve">, p＜0.01) patients. </w:t>
      </w:r>
      <w:r>
        <w:rPr>
          <w:szCs w:val="21"/>
        </w:rPr>
        <w:t>Similarly, total hip</w:t>
      </w:r>
      <w:r>
        <w:rPr>
          <w:rFonts w:hint="eastAsia"/>
          <w:szCs w:val="21"/>
        </w:rPr>
        <w:t xml:space="preserve"> </w:t>
      </w:r>
      <w:r>
        <w:rPr>
          <w:szCs w:val="21"/>
        </w:rPr>
        <w:t>BMD</w:t>
      </w:r>
      <w:r>
        <w:t xml:space="preserve"> </w:t>
      </w:r>
      <w:r>
        <w:rPr>
          <w:szCs w:val="21"/>
        </w:rPr>
        <w:t>in the group B increased by 9.2±0.7%,</w:t>
      </w:r>
      <w:r>
        <w:t xml:space="preserve"> </w:t>
      </w:r>
      <w:r>
        <w:rPr>
          <w:szCs w:val="21"/>
        </w:rPr>
        <w:t xml:space="preserve">higher than that in either group A (8.0±1.0%, </w:t>
      </w:r>
      <w:r>
        <w:rPr>
          <w:rFonts w:hint="eastAsia"/>
          <w:szCs w:val="21"/>
        </w:rPr>
        <w:t>p＜0.01</w:t>
      </w:r>
      <w:r>
        <w:rPr>
          <w:szCs w:val="21"/>
        </w:rPr>
        <w:t xml:space="preserve"> ) and group C (4.1±0.6%, p = 0.01) patients. </w:t>
      </w:r>
      <w:bookmarkEnd w:id="28"/>
      <w:bookmarkEnd w:id="29"/>
    </w:p>
    <w:p>
      <w:pPr>
        <w:spacing w:line="360" w:lineRule="auto"/>
        <w:rPr>
          <w:szCs w:val="21"/>
        </w:rPr>
      </w:pPr>
      <w:r>
        <w:rPr>
          <w:rFonts w:hint="eastAsia"/>
          <w:i/>
          <w:szCs w:val="21"/>
        </w:rPr>
        <w:t>Conclusion</w:t>
      </w:r>
      <w:r>
        <w:rPr>
          <w:i/>
          <w:szCs w:val="21"/>
        </w:rPr>
        <w:t xml:space="preserve"> </w:t>
      </w:r>
      <w:r>
        <w:rPr>
          <w:szCs w:val="21"/>
        </w:rPr>
        <w:t>This study shows that extracorporeal shock waves on selected hip sites can improve the local BMD, and high dosage ESWT is more effective in improving BMD within a certain energy fluid density range, indicating that ESWT might be useful for improving the bone mass of treated area and preventing osteoporotic femoral fracture.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5A49B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long_text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GFX</dc:creator>
  <cp:lastModifiedBy>GFX</cp:lastModifiedBy>
  <dcterms:modified xsi:type="dcterms:W3CDTF">2017-02-13T10:08:00Z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