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22CA9" w14:textId="350220CF" w:rsidR="00AE3E37" w:rsidRDefault="00A93B24" w:rsidP="00A93B24">
      <w:pPr>
        <w:pStyle w:val="Heading1"/>
        <w:spacing w:before="170"/>
        <w:ind w:left="0"/>
      </w:pPr>
      <w:r>
        <w:rPr>
          <w:color w:val="337AB7"/>
        </w:rPr>
        <w:t xml:space="preserve">Traumatic cervical spine intradural hematoma: A case report and review of literature </w:t>
      </w:r>
    </w:p>
    <w:p w14:paraId="36D81E4B" w14:textId="2F74405D" w:rsidR="0078738A" w:rsidRDefault="00A93B24" w:rsidP="005973B9">
      <w:pPr>
        <w:pStyle w:val="BodyText"/>
        <w:spacing w:before="73" w:line="198" w:lineRule="exact"/>
        <w:ind w:left="100" w:right="5987"/>
        <w:rPr>
          <w:rFonts w:ascii="Arial"/>
        </w:rPr>
      </w:pPr>
      <w:r>
        <w:rPr>
          <w:rFonts w:ascii="Arial"/>
        </w:rPr>
        <w:t xml:space="preserve">Abdulaziz Sobhi, Amer Hashim Al Ani </w:t>
      </w:r>
      <w:r w:rsidR="005973B9">
        <w:rPr>
          <w:rFonts w:ascii="Arial"/>
        </w:rPr>
        <w:t xml:space="preserve"> </w:t>
      </w:r>
    </w:p>
    <w:p w14:paraId="1C0F075A" w14:textId="17D5CBAF" w:rsidR="005973B9" w:rsidRDefault="00A93B24" w:rsidP="005973B9">
      <w:pPr>
        <w:pStyle w:val="BodyText"/>
        <w:spacing w:before="73" w:line="198" w:lineRule="exact"/>
        <w:ind w:left="100" w:right="5987"/>
        <w:rPr>
          <w:rFonts w:ascii="Arial"/>
        </w:rPr>
      </w:pPr>
      <w:r>
        <w:rPr>
          <w:rFonts w:ascii="Arial"/>
        </w:rPr>
        <w:t xml:space="preserve">Ajman University college of medicine </w:t>
      </w:r>
    </w:p>
    <w:p w14:paraId="0799D4F3" w14:textId="1995073F" w:rsidR="00AE3E37" w:rsidRDefault="00AE3E37">
      <w:pPr>
        <w:pStyle w:val="BodyText"/>
        <w:rPr>
          <w:rFonts w:ascii="Arial"/>
          <w:sz w:val="20"/>
        </w:rPr>
      </w:pPr>
    </w:p>
    <w:p w14:paraId="338B2C2B" w14:textId="7BA9CBAA" w:rsidR="00AE3E37" w:rsidRDefault="00AE3E37">
      <w:pPr>
        <w:pStyle w:val="BodyText"/>
        <w:spacing w:before="3"/>
        <w:rPr>
          <w:rFonts w:ascii="Arial"/>
          <w:sz w:val="21"/>
        </w:rPr>
      </w:pPr>
    </w:p>
    <w:p w14:paraId="7D2A48C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A380936" w14:textId="514C7039"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19D0C3A" w14:textId="17A6EDDB" w:rsidR="00A93B24" w:rsidRPr="00A93B24" w:rsidRDefault="00A93B24" w:rsidP="00A93B24">
      <w:pPr>
        <w:pStyle w:val="NormalWeb"/>
        <w:rPr>
          <w:rFonts w:asciiTheme="minorBidi" w:hAnsiTheme="minorBidi" w:cstheme="minorBidi"/>
          <w:color w:val="000000"/>
          <w:sz w:val="18"/>
          <w:szCs w:val="18"/>
        </w:rPr>
      </w:pPr>
      <w:r w:rsidRPr="00A93B24">
        <w:rPr>
          <w:rStyle w:val="Strong"/>
          <w:rFonts w:asciiTheme="minorBidi" w:hAnsiTheme="minorBidi" w:cstheme="minorBidi"/>
          <w:color w:val="000000"/>
          <w:sz w:val="18"/>
          <w:szCs w:val="18"/>
        </w:rPr>
        <w:t>I</w:t>
      </w:r>
      <w:r w:rsidRPr="00A93B24">
        <w:rPr>
          <w:rStyle w:val="Strong"/>
          <w:rFonts w:asciiTheme="minorBidi" w:hAnsiTheme="minorBidi" w:cstheme="minorBidi"/>
          <w:color w:val="000000"/>
          <w:sz w:val="18"/>
          <w:szCs w:val="18"/>
        </w:rPr>
        <w:t>ntroduction:</w:t>
      </w:r>
      <w:r w:rsidRPr="00A93B24">
        <w:rPr>
          <w:rStyle w:val="apple-converted-space"/>
          <w:rFonts w:asciiTheme="minorBidi" w:hAnsiTheme="minorBidi" w:cstheme="minorBidi"/>
          <w:color w:val="000000"/>
          <w:sz w:val="18"/>
          <w:szCs w:val="18"/>
        </w:rPr>
        <w:t> </w:t>
      </w:r>
      <w:r w:rsidRPr="00A93B24">
        <w:rPr>
          <w:rFonts w:asciiTheme="minorBidi" w:hAnsiTheme="minorBidi" w:cstheme="minorBidi"/>
          <w:color w:val="000000"/>
          <w:sz w:val="18"/>
          <w:szCs w:val="18"/>
        </w:rPr>
        <w:t>Intradural spinal hematoma, which refers to subdural and/or subarachnoid hematomas, represent a small percentage of spinal hematoma cases, with both hematomas together being only 19.8% of all spinal hematomas. Taken individually, a traumatic cervical spine subdural hematoma is a rare presentation by itself with only 11 cases reported in literature so far.</w:t>
      </w:r>
    </w:p>
    <w:p w14:paraId="70EAE149" w14:textId="16926F50" w:rsidR="00A93B24" w:rsidRPr="00A93B24" w:rsidRDefault="00A93B24" w:rsidP="00A93B24">
      <w:pPr>
        <w:pStyle w:val="NormalWeb"/>
        <w:rPr>
          <w:rFonts w:asciiTheme="minorBidi" w:hAnsiTheme="minorBidi" w:cstheme="minorBidi"/>
          <w:color w:val="000000"/>
          <w:sz w:val="18"/>
          <w:szCs w:val="18"/>
        </w:rPr>
      </w:pPr>
      <w:r w:rsidRPr="00A93B24">
        <w:rPr>
          <w:rStyle w:val="Strong"/>
          <w:rFonts w:asciiTheme="minorBidi" w:hAnsiTheme="minorBidi" w:cstheme="minorBidi"/>
          <w:color w:val="000000"/>
          <w:sz w:val="18"/>
          <w:szCs w:val="18"/>
        </w:rPr>
        <w:t>Presentation of case:</w:t>
      </w:r>
      <w:r w:rsidRPr="00A93B24">
        <w:rPr>
          <w:rStyle w:val="apple-converted-space"/>
          <w:rFonts w:asciiTheme="minorBidi" w:hAnsiTheme="minorBidi" w:cstheme="minorBidi"/>
          <w:color w:val="000000"/>
          <w:sz w:val="18"/>
          <w:szCs w:val="18"/>
        </w:rPr>
        <w:t> </w:t>
      </w:r>
      <w:r w:rsidRPr="00A93B24">
        <w:rPr>
          <w:rFonts w:asciiTheme="minorBidi" w:hAnsiTheme="minorBidi" w:cstheme="minorBidi"/>
          <w:color w:val="000000"/>
          <w:sz w:val="18"/>
          <w:szCs w:val="18"/>
        </w:rPr>
        <w:t>A 31 years old male presented to the ER with trauma to his neck after fall from height. ASIA (American Spinal Injury Association) impairment scale showed a grade A injury with no sensory or motor function preserved in the sacral segment S4-S5, upper paraparesis and lower paraplegia. Computed Tomography scan showed fracture of C6 vertebrae. Cervical spine T1 and T2 MRI showed intradural hematoma extending from C6 to craniocervical junction. Cervical traction and corpectomy were done.</w:t>
      </w:r>
    </w:p>
    <w:p w14:paraId="7DD1B403" w14:textId="2D71CF31" w:rsidR="00A93B24" w:rsidRPr="00A93B24" w:rsidRDefault="00A93B24" w:rsidP="00A93B24">
      <w:pPr>
        <w:pStyle w:val="NormalWeb"/>
        <w:rPr>
          <w:rFonts w:asciiTheme="minorBidi" w:hAnsiTheme="minorBidi" w:cstheme="minorBidi"/>
          <w:color w:val="000000"/>
          <w:sz w:val="18"/>
          <w:szCs w:val="18"/>
        </w:rPr>
      </w:pPr>
      <w:r w:rsidRPr="00A93B24">
        <w:rPr>
          <w:rStyle w:val="Strong"/>
          <w:rFonts w:asciiTheme="minorBidi" w:hAnsiTheme="minorBidi" w:cstheme="minorBidi"/>
          <w:color w:val="000000"/>
          <w:sz w:val="18"/>
          <w:szCs w:val="18"/>
        </w:rPr>
        <w:t>Discussion:</w:t>
      </w:r>
      <w:r w:rsidRPr="00A93B24">
        <w:rPr>
          <w:rStyle w:val="apple-converted-space"/>
          <w:rFonts w:asciiTheme="minorBidi" w:hAnsiTheme="minorBidi" w:cstheme="minorBidi"/>
          <w:color w:val="000000"/>
          <w:sz w:val="18"/>
          <w:szCs w:val="18"/>
        </w:rPr>
        <w:t> </w:t>
      </w:r>
      <w:r w:rsidRPr="00A93B24">
        <w:rPr>
          <w:rFonts w:asciiTheme="minorBidi" w:hAnsiTheme="minorBidi" w:cstheme="minorBidi"/>
          <w:color w:val="000000"/>
          <w:sz w:val="18"/>
          <w:szCs w:val="18"/>
        </w:rPr>
        <w:t>Traumatic Cervical spine intradural hematoma is a rare entity. Unlike spinal subarachnoid hematoma, spinal subdural hematoma’s pathophysiology is still unclear. Spinal MRI is the best imaging modality to reach the diagnosis. First line management is surgical evacuation of hematoma, but conservative management is a valid option in certain cases.</w:t>
      </w:r>
    </w:p>
    <w:p w14:paraId="70F3D916" w14:textId="5ACA25F1" w:rsidR="00A93B24" w:rsidRPr="00A93B24" w:rsidRDefault="00A93B24" w:rsidP="00A93B24">
      <w:pPr>
        <w:pStyle w:val="NormalWeb"/>
        <w:rPr>
          <w:rFonts w:asciiTheme="minorBidi" w:hAnsiTheme="minorBidi" w:cstheme="minorBidi"/>
          <w:color w:val="000000"/>
          <w:sz w:val="18"/>
          <w:szCs w:val="18"/>
        </w:rPr>
      </w:pPr>
      <w:r w:rsidRPr="00A93B24">
        <w:rPr>
          <w:rStyle w:val="Strong"/>
          <w:rFonts w:asciiTheme="minorBidi" w:hAnsiTheme="minorBidi" w:cstheme="minorBidi"/>
          <w:color w:val="000000"/>
          <w:sz w:val="18"/>
          <w:szCs w:val="18"/>
        </w:rPr>
        <w:t>Conclusion:</w:t>
      </w:r>
      <w:r w:rsidRPr="00A93B24">
        <w:rPr>
          <w:rStyle w:val="apple-converted-space"/>
          <w:rFonts w:asciiTheme="minorBidi" w:hAnsiTheme="minorBidi" w:cstheme="minorBidi"/>
          <w:color w:val="000000"/>
          <w:sz w:val="18"/>
          <w:szCs w:val="18"/>
        </w:rPr>
        <w:t> </w:t>
      </w:r>
      <w:r w:rsidRPr="00A93B24">
        <w:rPr>
          <w:rFonts w:asciiTheme="minorBidi" w:hAnsiTheme="minorBidi" w:cstheme="minorBidi"/>
          <w:color w:val="000000"/>
          <w:sz w:val="18"/>
          <w:szCs w:val="18"/>
        </w:rPr>
        <w:t>Knowing the risk factors that increase the chance of intradural extramedullary spinal hematomas and clinically distinguishing those who need to be managed surgically or conservatively is an important step in managing intradural extramedullary spinal hematoma cases.</w:t>
      </w:r>
    </w:p>
    <w:p w14:paraId="7974748D" w14:textId="3D18BE28" w:rsidR="00AE3E37" w:rsidRDefault="00707BC7">
      <w:pPr>
        <w:pStyle w:val="Heading3"/>
        <w:spacing w:before="74"/>
      </w:pPr>
      <w:r>
        <w:rPr>
          <w:rFonts w:ascii="Calibri"/>
          <w:b w:val="0"/>
          <w:noProof/>
        </w:rPr>
        <w:drawing>
          <wp:anchor distT="0" distB="0" distL="114300" distR="114300" simplePos="0" relativeHeight="251666944" behindDoc="0" locked="0" layoutInCell="1" allowOverlap="1" wp14:anchorId="63DE75AF" wp14:editId="0AB0843A">
            <wp:simplePos x="0" y="0"/>
            <wp:positionH relativeFrom="column">
              <wp:posOffset>1518994</wp:posOffset>
            </wp:positionH>
            <wp:positionV relativeFrom="paragraph">
              <wp:posOffset>750215</wp:posOffset>
            </wp:positionV>
            <wp:extent cx="1116330" cy="1239520"/>
            <wp:effectExtent l="0" t="0" r="1270" b="5080"/>
            <wp:wrapSquare wrapText="bothSides"/>
            <wp:docPr id="4203874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87498" name="Picture 420387498"/>
                    <pic:cNvPicPr/>
                  </pic:nvPicPr>
                  <pic:blipFill rotWithShape="1">
                    <a:blip r:embed="rId9" cstate="print">
                      <a:extLst>
                        <a:ext uri="{28A0092B-C50C-407E-A947-70E740481C1C}">
                          <a14:useLocalDpi xmlns:a14="http://schemas.microsoft.com/office/drawing/2010/main" val="0"/>
                        </a:ext>
                      </a:extLst>
                    </a:blip>
                    <a:srcRect t="20302" b="19917"/>
                    <a:stretch>
                      <a:fillRect/>
                    </a:stretch>
                  </pic:blipFill>
                  <pic:spPr bwMode="auto">
                    <a:xfrm>
                      <a:off x="0" y="0"/>
                      <a:ext cx="1116330" cy="1239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p>
    <w:p w14:paraId="03A844AE" w14:textId="7C7A130B" w:rsidR="00AE3E37" w:rsidRDefault="001E1C90">
      <w:pPr>
        <w:pStyle w:val="BodyText"/>
        <w:spacing w:before="2"/>
        <w:rPr>
          <w:rFonts w:ascii="Arial"/>
          <w:b/>
          <w:sz w:val="16"/>
        </w:rPr>
      </w:pPr>
      <w:r>
        <w:rPr>
          <w:noProof/>
          <w:color w:val="000000"/>
        </w:rPr>
        <w:drawing>
          <wp:anchor distT="0" distB="0" distL="114300" distR="114300" simplePos="0" relativeHeight="251672064" behindDoc="0" locked="0" layoutInCell="1" allowOverlap="1" wp14:anchorId="256F3B9F" wp14:editId="75A30981">
            <wp:simplePos x="0" y="0"/>
            <wp:positionH relativeFrom="column">
              <wp:posOffset>24765</wp:posOffset>
            </wp:positionH>
            <wp:positionV relativeFrom="paragraph">
              <wp:posOffset>137160</wp:posOffset>
            </wp:positionV>
            <wp:extent cx="3181985" cy="1649095"/>
            <wp:effectExtent l="0" t="0" r="5715" b="1905"/>
            <wp:wrapSquare wrapText="bothSides"/>
            <wp:docPr id="8274248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24826" name="Picture 82742482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81985" cy="1649095"/>
                    </a:xfrm>
                    <a:prstGeom prst="rect">
                      <a:avLst/>
                    </a:prstGeom>
                  </pic:spPr>
                </pic:pic>
              </a:graphicData>
            </a:graphic>
            <wp14:sizeRelH relativeFrom="page">
              <wp14:pctWidth>0</wp14:pctWidth>
            </wp14:sizeRelH>
            <wp14:sizeRelV relativeFrom="page">
              <wp14:pctHeight>0</wp14:pctHeight>
            </wp14:sizeRelV>
          </wp:anchor>
        </w:drawing>
      </w:r>
    </w:p>
    <w:p w14:paraId="695F79A3" w14:textId="37413958" w:rsidR="005973B9" w:rsidRDefault="005973B9" w:rsidP="005973B9">
      <w:pPr>
        <w:spacing w:line="204" w:lineRule="exact"/>
        <w:rPr>
          <w:rFonts w:ascii="Arial"/>
          <w:b/>
          <w:sz w:val="20"/>
        </w:rPr>
      </w:pPr>
      <w:r>
        <w:rPr>
          <w:rFonts w:ascii="Arial"/>
          <w:b/>
          <w:color w:val="BF5A14"/>
          <w:sz w:val="20"/>
        </w:rPr>
        <w:br/>
        <w:t>Recent Publications (minimum 5)</w:t>
      </w:r>
    </w:p>
    <w:p w14:paraId="0ECA456C" w14:textId="746B361D" w:rsidR="005973B9" w:rsidRDefault="00A93B24" w:rsidP="00A93B24">
      <w:pPr>
        <w:pStyle w:val="p1"/>
        <w:numPr>
          <w:ilvl w:val="0"/>
          <w:numId w:val="4"/>
        </w:numPr>
        <w:rPr>
          <w:sz w:val="18"/>
          <w:szCs w:val="18"/>
        </w:rPr>
      </w:pPr>
      <w:r w:rsidRPr="00A93B24">
        <w:rPr>
          <w:sz w:val="18"/>
          <w:szCs w:val="18"/>
        </w:rPr>
        <w:t>DKreppel,GAntoniadis,WSeeling,Spinalhematoma:aliteraturesurveywith</w:t>
      </w:r>
      <w:r>
        <w:rPr>
          <w:sz w:val="18"/>
          <w:szCs w:val="18"/>
        </w:rPr>
        <w:t xml:space="preserve"> </w:t>
      </w:r>
      <w:r w:rsidRPr="00A93B24">
        <w:rPr>
          <w:sz w:val="18"/>
          <w:szCs w:val="18"/>
        </w:rPr>
        <w:t>meta</w:t>
      </w:r>
      <w:r>
        <w:rPr>
          <w:sz w:val="18"/>
          <w:szCs w:val="18"/>
        </w:rPr>
        <w:t>-</w:t>
      </w:r>
      <w:r w:rsidRPr="00A93B24">
        <w:rPr>
          <w:sz w:val="18"/>
          <w:szCs w:val="18"/>
        </w:rPr>
        <w:t>analysis</w:t>
      </w:r>
      <w:r>
        <w:rPr>
          <w:sz w:val="18"/>
          <w:szCs w:val="18"/>
        </w:rPr>
        <w:t xml:space="preserve"> </w:t>
      </w:r>
      <w:r w:rsidRPr="00A93B24">
        <w:rPr>
          <w:sz w:val="18"/>
          <w:szCs w:val="18"/>
        </w:rPr>
        <w:t>of</w:t>
      </w:r>
      <w:r>
        <w:rPr>
          <w:sz w:val="18"/>
          <w:szCs w:val="18"/>
        </w:rPr>
        <w:t xml:space="preserve"> </w:t>
      </w:r>
      <w:r w:rsidRPr="00A93B24">
        <w:rPr>
          <w:sz w:val="18"/>
          <w:szCs w:val="18"/>
        </w:rPr>
        <w:t>613</w:t>
      </w:r>
      <w:r>
        <w:rPr>
          <w:sz w:val="18"/>
          <w:szCs w:val="18"/>
        </w:rPr>
        <w:t xml:space="preserve"> </w:t>
      </w:r>
      <w:r w:rsidRPr="00A93B24">
        <w:rPr>
          <w:sz w:val="18"/>
          <w:szCs w:val="18"/>
        </w:rPr>
        <w:t>patients,</w:t>
      </w:r>
      <w:r>
        <w:rPr>
          <w:sz w:val="18"/>
          <w:szCs w:val="18"/>
        </w:rPr>
        <w:t xml:space="preserve"> </w:t>
      </w:r>
      <w:r w:rsidRPr="00A93B24">
        <w:rPr>
          <w:sz w:val="18"/>
          <w:szCs w:val="18"/>
        </w:rPr>
        <w:t>Neurosurg.Rev.26</w:t>
      </w:r>
      <w:r>
        <w:rPr>
          <w:sz w:val="18"/>
          <w:szCs w:val="18"/>
        </w:rPr>
        <w:t xml:space="preserve"> </w:t>
      </w:r>
      <w:r w:rsidRPr="00A93B24">
        <w:rPr>
          <w:sz w:val="18"/>
          <w:szCs w:val="18"/>
        </w:rPr>
        <w:t>(1)</w:t>
      </w:r>
      <w:r>
        <w:rPr>
          <w:sz w:val="18"/>
          <w:szCs w:val="18"/>
        </w:rPr>
        <w:t xml:space="preserve"> </w:t>
      </w:r>
      <w:r w:rsidRPr="00A93B24">
        <w:rPr>
          <w:sz w:val="18"/>
          <w:szCs w:val="18"/>
        </w:rPr>
        <w:t>(2003)1–49,doi:10.1007/</w:t>
      </w:r>
      <w:r>
        <w:rPr>
          <w:sz w:val="18"/>
          <w:szCs w:val="18"/>
        </w:rPr>
        <w:t xml:space="preserve"> </w:t>
      </w:r>
      <w:r w:rsidRPr="00A93B24">
        <w:rPr>
          <w:sz w:val="18"/>
          <w:szCs w:val="18"/>
        </w:rPr>
        <w:t>s10143-002-0224-y</w:t>
      </w:r>
    </w:p>
    <w:p w14:paraId="6B20FE00" w14:textId="124929BE" w:rsidR="00707BC7" w:rsidRDefault="00707BC7" w:rsidP="00707BC7">
      <w:pPr>
        <w:pStyle w:val="p1"/>
        <w:rPr>
          <w:sz w:val="18"/>
          <w:szCs w:val="18"/>
        </w:rPr>
      </w:pPr>
    </w:p>
    <w:p w14:paraId="5423342A" w14:textId="3D1B6E22" w:rsidR="00A93B24" w:rsidRDefault="00A93B24" w:rsidP="00A93B24">
      <w:pPr>
        <w:pStyle w:val="p1"/>
        <w:numPr>
          <w:ilvl w:val="0"/>
          <w:numId w:val="4"/>
        </w:numPr>
        <w:rPr>
          <w:sz w:val="18"/>
          <w:szCs w:val="18"/>
        </w:rPr>
      </w:pPr>
      <w:r w:rsidRPr="00A93B24">
        <w:rPr>
          <w:sz w:val="18"/>
          <w:szCs w:val="18"/>
        </w:rPr>
        <w:t>R</w:t>
      </w:r>
      <w:r w:rsidRPr="00A93B24">
        <w:rPr>
          <w:sz w:val="18"/>
          <w:szCs w:val="18"/>
        </w:rPr>
        <w:t xml:space="preserve"> </w:t>
      </w:r>
      <w:r w:rsidRPr="00A93B24">
        <w:rPr>
          <w:sz w:val="18"/>
          <w:szCs w:val="18"/>
        </w:rPr>
        <w:t>A</w:t>
      </w:r>
      <w:r w:rsidRPr="00A93B24">
        <w:rPr>
          <w:sz w:val="18"/>
          <w:szCs w:val="18"/>
        </w:rPr>
        <w:t xml:space="preserve"> </w:t>
      </w:r>
      <w:r w:rsidRPr="00A93B24">
        <w:rPr>
          <w:sz w:val="18"/>
          <w:szCs w:val="18"/>
        </w:rPr>
        <w:t>Bruce</w:t>
      </w:r>
      <w:r w:rsidRPr="00A93B24">
        <w:rPr>
          <w:sz w:val="18"/>
          <w:szCs w:val="18"/>
        </w:rPr>
        <w:t xml:space="preserve"> </w:t>
      </w:r>
      <w:r w:rsidRPr="00A93B24">
        <w:rPr>
          <w:sz w:val="18"/>
          <w:szCs w:val="18"/>
        </w:rPr>
        <w:t>Brand,</w:t>
      </w:r>
      <w:r w:rsidRPr="00A93B24">
        <w:rPr>
          <w:sz w:val="18"/>
          <w:szCs w:val="18"/>
        </w:rPr>
        <w:t xml:space="preserve"> </w:t>
      </w:r>
      <w:r w:rsidRPr="00A93B24">
        <w:rPr>
          <w:sz w:val="18"/>
          <w:szCs w:val="18"/>
        </w:rPr>
        <w:t>G</w:t>
      </w:r>
      <w:r w:rsidRPr="00A93B24">
        <w:rPr>
          <w:sz w:val="18"/>
          <w:szCs w:val="18"/>
        </w:rPr>
        <w:t xml:space="preserve"> </w:t>
      </w:r>
      <w:r w:rsidRPr="00A93B24">
        <w:rPr>
          <w:sz w:val="18"/>
          <w:szCs w:val="18"/>
        </w:rPr>
        <w:t>C</w:t>
      </w:r>
      <w:r w:rsidRPr="00A93B24">
        <w:rPr>
          <w:sz w:val="18"/>
          <w:szCs w:val="18"/>
        </w:rPr>
        <w:t xml:space="preserve"> </w:t>
      </w:r>
      <w:r w:rsidRPr="00A93B24">
        <w:rPr>
          <w:sz w:val="18"/>
          <w:szCs w:val="18"/>
        </w:rPr>
        <w:t>Colleran,</w:t>
      </w:r>
      <w:r w:rsidRPr="00A93B24">
        <w:rPr>
          <w:sz w:val="18"/>
          <w:szCs w:val="18"/>
        </w:rPr>
        <w:t xml:space="preserve"> </w:t>
      </w:r>
      <w:r w:rsidRPr="00A93B24">
        <w:rPr>
          <w:sz w:val="18"/>
          <w:szCs w:val="18"/>
        </w:rPr>
        <w:t>J</w:t>
      </w:r>
      <w:r w:rsidRPr="00A93B24">
        <w:rPr>
          <w:sz w:val="18"/>
          <w:szCs w:val="18"/>
        </w:rPr>
        <w:t xml:space="preserve"> </w:t>
      </w:r>
      <w:r w:rsidRPr="00A93B24">
        <w:rPr>
          <w:sz w:val="18"/>
          <w:szCs w:val="18"/>
        </w:rPr>
        <w:t>M</w:t>
      </w:r>
      <w:r w:rsidRPr="00A93B24">
        <w:rPr>
          <w:sz w:val="18"/>
          <w:szCs w:val="18"/>
        </w:rPr>
        <w:t xml:space="preserve"> </w:t>
      </w:r>
      <w:r w:rsidRPr="00A93B24">
        <w:rPr>
          <w:sz w:val="18"/>
          <w:szCs w:val="18"/>
        </w:rPr>
        <w:t>Broderick,</w:t>
      </w:r>
      <w:r w:rsidRPr="00A93B24">
        <w:rPr>
          <w:sz w:val="18"/>
          <w:szCs w:val="18"/>
        </w:rPr>
        <w:t xml:space="preserve"> </w:t>
      </w:r>
      <w:r w:rsidRPr="00A93B24">
        <w:rPr>
          <w:sz w:val="18"/>
          <w:szCs w:val="18"/>
        </w:rPr>
        <w:t>D</w:t>
      </w:r>
      <w:r w:rsidRPr="00A93B24">
        <w:rPr>
          <w:sz w:val="18"/>
          <w:szCs w:val="18"/>
        </w:rPr>
        <w:t xml:space="preserve"> </w:t>
      </w:r>
      <w:r w:rsidRPr="00A93B24">
        <w:rPr>
          <w:sz w:val="18"/>
          <w:szCs w:val="18"/>
        </w:rPr>
        <w:t>F</w:t>
      </w:r>
      <w:r w:rsidRPr="00A93B24">
        <w:rPr>
          <w:sz w:val="18"/>
          <w:szCs w:val="18"/>
        </w:rPr>
        <w:t xml:space="preserve"> </w:t>
      </w:r>
      <w:r w:rsidRPr="00A93B24">
        <w:rPr>
          <w:sz w:val="18"/>
          <w:szCs w:val="18"/>
        </w:rPr>
        <w:t>Lui,</w:t>
      </w:r>
      <w:r w:rsidRPr="00A93B24">
        <w:rPr>
          <w:sz w:val="18"/>
          <w:szCs w:val="18"/>
        </w:rPr>
        <w:t xml:space="preserve"> </w:t>
      </w:r>
      <w:r w:rsidRPr="00A93B24">
        <w:rPr>
          <w:sz w:val="18"/>
          <w:szCs w:val="18"/>
        </w:rPr>
        <w:t>E</w:t>
      </w:r>
      <w:r w:rsidRPr="00A93B24">
        <w:rPr>
          <w:sz w:val="18"/>
          <w:szCs w:val="18"/>
        </w:rPr>
        <w:t xml:space="preserve"> </w:t>
      </w:r>
      <w:r w:rsidRPr="00A93B24">
        <w:rPr>
          <w:sz w:val="18"/>
          <w:szCs w:val="18"/>
        </w:rPr>
        <w:t>M</w:t>
      </w:r>
      <w:r w:rsidRPr="00A93B24">
        <w:rPr>
          <w:sz w:val="18"/>
          <w:szCs w:val="18"/>
        </w:rPr>
        <w:t xml:space="preserve"> </w:t>
      </w:r>
      <w:r w:rsidRPr="00A93B24">
        <w:rPr>
          <w:sz w:val="18"/>
          <w:szCs w:val="18"/>
        </w:rPr>
        <w:t>Smith,</w:t>
      </w:r>
      <w:r w:rsidRPr="00A93B24">
        <w:rPr>
          <w:sz w:val="18"/>
          <w:szCs w:val="18"/>
        </w:rPr>
        <w:t xml:space="preserve"> </w:t>
      </w:r>
      <w:r w:rsidRPr="00A93B24">
        <w:rPr>
          <w:sz w:val="18"/>
          <w:szCs w:val="18"/>
        </w:rPr>
        <w:t>E</w:t>
      </w:r>
      <w:r w:rsidRPr="00A93B24">
        <w:rPr>
          <w:sz w:val="18"/>
          <w:szCs w:val="18"/>
        </w:rPr>
        <w:t xml:space="preserve"> </w:t>
      </w:r>
      <w:r w:rsidRPr="00A93B24">
        <w:rPr>
          <w:sz w:val="18"/>
          <w:szCs w:val="18"/>
        </w:rPr>
        <w:t>C</w:t>
      </w:r>
      <w:r w:rsidRPr="00A93B24">
        <w:rPr>
          <w:sz w:val="18"/>
          <w:szCs w:val="18"/>
        </w:rPr>
        <w:t xml:space="preserve"> </w:t>
      </w:r>
      <w:r w:rsidRPr="00A93B24">
        <w:rPr>
          <w:sz w:val="18"/>
          <w:szCs w:val="18"/>
        </w:rPr>
        <w:t>Kavanagh,</w:t>
      </w:r>
      <w:r w:rsidRPr="00A93B24">
        <w:rPr>
          <w:sz w:val="18"/>
          <w:szCs w:val="18"/>
        </w:rPr>
        <w:t xml:space="preserve"> </w:t>
      </w:r>
      <w:r w:rsidRPr="00A93B24">
        <w:rPr>
          <w:sz w:val="18"/>
          <w:szCs w:val="18"/>
        </w:rPr>
        <w:t>A</w:t>
      </w:r>
      <w:r w:rsidRPr="00A93B24">
        <w:rPr>
          <w:sz w:val="18"/>
          <w:szCs w:val="18"/>
        </w:rPr>
        <w:t xml:space="preserve"> </w:t>
      </w:r>
      <w:r w:rsidRPr="00A93B24">
        <w:rPr>
          <w:sz w:val="18"/>
          <w:szCs w:val="18"/>
        </w:rPr>
        <w:t>R</w:t>
      </w:r>
      <w:r w:rsidRPr="00A93B24">
        <w:rPr>
          <w:sz w:val="18"/>
          <w:szCs w:val="18"/>
        </w:rPr>
        <w:t xml:space="preserve"> </w:t>
      </w:r>
      <w:r w:rsidRPr="00A93B24">
        <w:rPr>
          <w:sz w:val="18"/>
          <w:szCs w:val="18"/>
        </w:rPr>
        <w:t>Poynton,</w:t>
      </w:r>
      <w:r w:rsidRPr="00A93B24">
        <w:rPr>
          <w:sz w:val="18"/>
          <w:szCs w:val="18"/>
        </w:rPr>
        <w:t xml:space="preserve"> </w:t>
      </w:r>
      <w:r w:rsidRPr="00A93B24">
        <w:rPr>
          <w:sz w:val="18"/>
          <w:szCs w:val="18"/>
        </w:rPr>
        <w:t>Acute</w:t>
      </w:r>
      <w:r w:rsidRPr="00A93B24">
        <w:rPr>
          <w:sz w:val="18"/>
          <w:szCs w:val="18"/>
        </w:rPr>
        <w:t xml:space="preserve"> </w:t>
      </w:r>
      <w:r w:rsidRPr="00A93B24">
        <w:rPr>
          <w:sz w:val="18"/>
          <w:szCs w:val="18"/>
        </w:rPr>
        <w:t>nontraumatic</w:t>
      </w:r>
      <w:r w:rsidRPr="00A93B24">
        <w:rPr>
          <w:sz w:val="18"/>
          <w:szCs w:val="18"/>
        </w:rPr>
        <w:t xml:space="preserve"> </w:t>
      </w:r>
      <w:r w:rsidRPr="00A93B24">
        <w:rPr>
          <w:sz w:val="18"/>
          <w:szCs w:val="18"/>
        </w:rPr>
        <w:t>spinal</w:t>
      </w:r>
      <w:r w:rsidRPr="00A93B24">
        <w:rPr>
          <w:sz w:val="18"/>
          <w:szCs w:val="18"/>
        </w:rPr>
        <w:t xml:space="preserve"> </w:t>
      </w:r>
      <w:r w:rsidRPr="00A93B24">
        <w:rPr>
          <w:sz w:val="18"/>
          <w:szCs w:val="18"/>
        </w:rPr>
        <w:t>intradural</w:t>
      </w:r>
      <w:r w:rsidRPr="00A93B24">
        <w:rPr>
          <w:sz w:val="18"/>
          <w:szCs w:val="18"/>
        </w:rPr>
        <w:t xml:space="preserve"> </w:t>
      </w:r>
      <w:r w:rsidRPr="00A93B24">
        <w:rPr>
          <w:sz w:val="18"/>
          <w:szCs w:val="18"/>
        </w:rPr>
        <w:t>hematoma</w:t>
      </w:r>
      <w:r w:rsidRPr="00A93B24">
        <w:rPr>
          <w:sz w:val="18"/>
          <w:szCs w:val="18"/>
        </w:rPr>
        <w:t xml:space="preserve"> </w:t>
      </w:r>
      <w:r w:rsidRPr="00A93B24">
        <w:rPr>
          <w:sz w:val="18"/>
          <w:szCs w:val="18"/>
        </w:rPr>
        <w:t>in</w:t>
      </w:r>
      <w:r w:rsidRPr="00A93B24">
        <w:rPr>
          <w:sz w:val="18"/>
          <w:szCs w:val="18"/>
        </w:rPr>
        <w:t xml:space="preserve"> </w:t>
      </w:r>
      <w:r w:rsidRPr="00A93B24">
        <w:rPr>
          <w:sz w:val="18"/>
          <w:szCs w:val="18"/>
        </w:rPr>
        <w:t>a</w:t>
      </w:r>
      <w:r w:rsidRPr="00A93B24">
        <w:rPr>
          <w:sz w:val="18"/>
          <w:szCs w:val="18"/>
        </w:rPr>
        <w:t xml:space="preserve"> </w:t>
      </w:r>
      <w:r w:rsidRPr="00A93B24">
        <w:rPr>
          <w:sz w:val="18"/>
          <w:szCs w:val="18"/>
        </w:rPr>
        <w:t>patient</w:t>
      </w:r>
      <w:r w:rsidRPr="00A93B24">
        <w:rPr>
          <w:sz w:val="18"/>
          <w:szCs w:val="18"/>
        </w:rPr>
        <w:t xml:space="preserve"> </w:t>
      </w:r>
      <w:r w:rsidRPr="00A93B24">
        <w:rPr>
          <w:sz w:val="18"/>
          <w:szCs w:val="18"/>
        </w:rPr>
        <w:t>on</w:t>
      </w:r>
      <w:r w:rsidRPr="00A93B24">
        <w:rPr>
          <w:sz w:val="18"/>
          <w:szCs w:val="18"/>
        </w:rPr>
        <w:t xml:space="preserve"> </w:t>
      </w:r>
      <w:r w:rsidRPr="00A93B24">
        <w:rPr>
          <w:sz w:val="18"/>
          <w:szCs w:val="18"/>
        </w:rPr>
        <w:t>Warfarin,J.Emerg.Med.45(5)(2013)695–697,doi:10.1016/</w:t>
      </w:r>
      <w:r w:rsidRPr="00A93B24">
        <w:rPr>
          <w:sz w:val="18"/>
          <w:szCs w:val="18"/>
        </w:rPr>
        <w:t xml:space="preserve"> </w:t>
      </w:r>
      <w:r w:rsidRPr="00A93B24">
        <w:rPr>
          <w:sz w:val="18"/>
          <w:szCs w:val="18"/>
        </w:rPr>
        <w:t>j.jemermed.2013.04.048</w:t>
      </w:r>
    </w:p>
    <w:p w14:paraId="6346669E" w14:textId="77777777" w:rsidR="00707BC7" w:rsidRPr="00A93B24" w:rsidRDefault="00707BC7" w:rsidP="00707BC7">
      <w:pPr>
        <w:pStyle w:val="p1"/>
        <w:rPr>
          <w:sz w:val="18"/>
          <w:szCs w:val="18"/>
        </w:rPr>
      </w:pPr>
    </w:p>
    <w:p w14:paraId="2169174B" w14:textId="39853856" w:rsidR="00707BC7" w:rsidRPr="00707BC7" w:rsidRDefault="00707BC7" w:rsidP="00707BC7">
      <w:pPr>
        <w:pStyle w:val="p1"/>
        <w:numPr>
          <w:ilvl w:val="0"/>
          <w:numId w:val="4"/>
        </w:numPr>
        <w:rPr>
          <w:sz w:val="18"/>
          <w:szCs w:val="18"/>
        </w:rPr>
      </w:pPr>
      <w:r w:rsidRPr="00707BC7">
        <w:rPr>
          <w:color w:val="000000"/>
          <w:sz w:val="18"/>
          <w:szCs w:val="18"/>
        </w:rPr>
        <w:t>P. Varela Rois, J. González García, M. Regueira Portas, P. Martínez Cueto, E. Azevedo González.</w:t>
      </w:r>
      <w:r w:rsidRPr="00707BC7">
        <w:rPr>
          <w:rStyle w:val="apple-converted-space"/>
          <w:color w:val="000000"/>
          <w:sz w:val="18"/>
          <w:szCs w:val="18"/>
        </w:rPr>
        <w:t> </w:t>
      </w:r>
      <w:r w:rsidRPr="00707BC7">
        <w:rPr>
          <w:rStyle w:val="Emphasis"/>
          <w:color w:val="000000"/>
          <w:sz w:val="18"/>
          <w:szCs w:val="18"/>
        </w:rPr>
        <w:t>Spinal haematomas: The spinal apoplexy.</w:t>
      </w:r>
      <w:r w:rsidRPr="00707BC7">
        <w:rPr>
          <w:rStyle w:val="apple-converted-space"/>
          <w:color w:val="000000"/>
          <w:sz w:val="18"/>
          <w:szCs w:val="18"/>
        </w:rPr>
        <w:t> </w:t>
      </w:r>
      <w:r w:rsidRPr="00707BC7">
        <w:rPr>
          <w:rStyle w:val="Strong"/>
          <w:color w:val="000000"/>
          <w:sz w:val="18"/>
          <w:szCs w:val="18"/>
        </w:rPr>
        <w:t>Neurología (English Edition)</w:t>
      </w:r>
      <w:r w:rsidRPr="00707BC7">
        <w:rPr>
          <w:rStyle w:val="apple-converted-space"/>
          <w:color w:val="000000"/>
          <w:sz w:val="18"/>
          <w:szCs w:val="18"/>
        </w:rPr>
        <w:t> </w:t>
      </w:r>
      <w:r w:rsidRPr="00707BC7">
        <w:rPr>
          <w:color w:val="000000"/>
          <w:sz w:val="18"/>
          <w:szCs w:val="18"/>
        </w:rPr>
        <w:t>25(2) (2010): 96–103. doi:10.1016/s2173-5808(10)70019-5.</w:t>
      </w:r>
    </w:p>
    <w:p w14:paraId="5391F4CC" w14:textId="794C967D" w:rsidR="00707BC7" w:rsidRPr="00707BC7" w:rsidRDefault="00707BC7" w:rsidP="00707BC7">
      <w:pPr>
        <w:pStyle w:val="p1"/>
        <w:ind w:left="720"/>
        <w:rPr>
          <w:sz w:val="18"/>
          <w:szCs w:val="18"/>
        </w:rPr>
      </w:pPr>
    </w:p>
    <w:p w14:paraId="462C60A4" w14:textId="39ED991B" w:rsidR="00707BC7" w:rsidRPr="00707BC7" w:rsidRDefault="00707BC7" w:rsidP="00A93B24">
      <w:pPr>
        <w:pStyle w:val="p1"/>
        <w:numPr>
          <w:ilvl w:val="0"/>
          <w:numId w:val="4"/>
        </w:numPr>
        <w:rPr>
          <w:sz w:val="18"/>
          <w:szCs w:val="18"/>
        </w:rPr>
      </w:pPr>
      <w:r w:rsidRPr="00707BC7">
        <w:rPr>
          <w:color w:val="000000"/>
          <w:sz w:val="18"/>
          <w:szCs w:val="18"/>
        </w:rPr>
        <w:t>Motor Disorders. In: Simon R.P., Aminoff M.J., Greenberg D.A. (eds).</w:t>
      </w:r>
      <w:r w:rsidRPr="00707BC7">
        <w:rPr>
          <w:rStyle w:val="apple-converted-space"/>
          <w:color w:val="000000"/>
          <w:sz w:val="18"/>
          <w:szCs w:val="18"/>
        </w:rPr>
        <w:t> </w:t>
      </w:r>
      <w:r w:rsidRPr="00707BC7">
        <w:rPr>
          <w:rStyle w:val="Emphasis"/>
          <w:color w:val="000000"/>
          <w:sz w:val="18"/>
          <w:szCs w:val="18"/>
        </w:rPr>
        <w:t>Clinical Neurology</w:t>
      </w:r>
      <w:r w:rsidRPr="00707BC7">
        <w:rPr>
          <w:color w:val="000000"/>
          <w:sz w:val="18"/>
          <w:szCs w:val="18"/>
        </w:rPr>
        <w:t>, 10e. New York, NY: McGraw-Hill. Available at:</w:t>
      </w:r>
      <w:r w:rsidRPr="00707BC7">
        <w:rPr>
          <w:rStyle w:val="apple-converted-space"/>
          <w:color w:val="000000"/>
          <w:sz w:val="18"/>
          <w:szCs w:val="18"/>
        </w:rPr>
        <w:t> </w:t>
      </w:r>
      <w:r w:rsidRPr="00707BC7">
        <w:rPr>
          <w:sz w:val="18"/>
          <w:szCs w:val="18"/>
        </w:rPr>
        <w:t>http://accessmedicine.mhmedical.com/content.aspx?bookid=2274&amp;sectionid=176233445</w:t>
      </w:r>
      <w:r w:rsidRPr="00707BC7">
        <w:rPr>
          <w:color w:val="000000"/>
          <w:sz w:val="18"/>
          <w:szCs w:val="18"/>
        </w:rPr>
        <w:t>. Accessed February 25, 2019.</w:t>
      </w:r>
    </w:p>
    <w:p w14:paraId="01C18075" w14:textId="77777777" w:rsidR="00707BC7" w:rsidRDefault="00707BC7" w:rsidP="00707BC7">
      <w:pPr>
        <w:pStyle w:val="ListParagraph"/>
        <w:rPr>
          <w:sz w:val="18"/>
          <w:szCs w:val="18"/>
        </w:rPr>
      </w:pPr>
    </w:p>
    <w:p w14:paraId="6E06463D" w14:textId="20FCFE58" w:rsidR="00707BC7" w:rsidRPr="00707BC7" w:rsidRDefault="00707BC7" w:rsidP="00A93B24">
      <w:pPr>
        <w:pStyle w:val="p1"/>
        <w:numPr>
          <w:ilvl w:val="0"/>
          <w:numId w:val="4"/>
        </w:numPr>
        <w:rPr>
          <w:sz w:val="18"/>
          <w:szCs w:val="18"/>
        </w:rPr>
      </w:pPr>
      <w:r w:rsidRPr="00707BC7">
        <w:rPr>
          <w:color w:val="000000"/>
          <w:sz w:val="18"/>
          <w:szCs w:val="18"/>
        </w:rPr>
        <w:t>P. Braun, K. Kazmi, P. Nogués-Meléndez, F. Mas-Estellés, F. Aparici-Robles.</w:t>
      </w:r>
      <w:r w:rsidRPr="00707BC7">
        <w:rPr>
          <w:rStyle w:val="apple-converted-space"/>
          <w:color w:val="000000"/>
          <w:sz w:val="18"/>
          <w:szCs w:val="18"/>
        </w:rPr>
        <w:t> </w:t>
      </w:r>
      <w:r w:rsidRPr="00707BC7">
        <w:rPr>
          <w:rStyle w:val="Emphasis"/>
          <w:color w:val="000000"/>
          <w:sz w:val="18"/>
          <w:szCs w:val="18"/>
        </w:rPr>
        <w:t>MRI findings in spinal subdural and epidural hematomas.</w:t>
      </w:r>
      <w:r w:rsidRPr="00707BC7">
        <w:rPr>
          <w:rStyle w:val="apple-converted-space"/>
          <w:color w:val="000000"/>
          <w:sz w:val="18"/>
          <w:szCs w:val="18"/>
        </w:rPr>
        <w:t> </w:t>
      </w:r>
      <w:r w:rsidRPr="00707BC7">
        <w:rPr>
          <w:rStyle w:val="Strong"/>
          <w:color w:val="000000"/>
          <w:sz w:val="18"/>
          <w:szCs w:val="18"/>
        </w:rPr>
        <w:t>European Journal of Radiology</w:t>
      </w:r>
      <w:r w:rsidRPr="00707BC7">
        <w:rPr>
          <w:rStyle w:val="apple-converted-space"/>
          <w:color w:val="000000"/>
          <w:sz w:val="18"/>
          <w:szCs w:val="18"/>
        </w:rPr>
        <w:t> </w:t>
      </w:r>
      <w:r w:rsidRPr="00707BC7">
        <w:rPr>
          <w:color w:val="000000"/>
          <w:sz w:val="18"/>
          <w:szCs w:val="18"/>
        </w:rPr>
        <w:t>64(1) (2007): 119–125. doi:10.1016/j.ejrad.2007.02.014.</w:t>
      </w:r>
    </w:p>
    <w:p w14:paraId="02000713" w14:textId="77777777" w:rsidR="00AE3E37" w:rsidRPr="008756E6" w:rsidRDefault="00AE3E37" w:rsidP="008756E6">
      <w:pPr>
        <w:tabs>
          <w:tab w:val="left" w:pos="384"/>
        </w:tabs>
        <w:ind w:right="117"/>
      </w:pPr>
    </w:p>
    <w:p w14:paraId="561C280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137D935" w14:textId="6FB45C91"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26946FC4" w14:textId="69BDFE6A"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866544F" wp14:editId="08F7A60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A0FD0D"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7907DCF" w14:textId="225187E6"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8A90948" w14:textId="3B5733DB" w:rsidR="00AE3E37" w:rsidRDefault="00707BC7" w:rsidP="00707BC7">
      <w:pPr>
        <w:spacing w:before="41" w:line="154" w:lineRule="exact"/>
        <w:ind w:left="213" w:right="231"/>
        <w:jc w:val="both"/>
        <w:rPr>
          <w:rFonts w:ascii="Arial"/>
          <w:sz w:val="14"/>
        </w:rPr>
      </w:pPr>
      <w:r>
        <w:rPr>
          <w:rFonts w:ascii="Arial"/>
          <w:sz w:val="14"/>
        </w:rPr>
        <w:tab/>
      </w:r>
    </w:p>
    <w:p w14:paraId="07D6095E" w14:textId="7055EC01" w:rsidR="00AE3E37" w:rsidRPr="001E1C90" w:rsidRDefault="00292ED9">
      <w:pPr>
        <w:pStyle w:val="BodyText"/>
        <w:spacing w:before="2"/>
        <w:rPr>
          <w:rFonts w:asciiTheme="minorBidi" w:hAnsiTheme="minorBidi" w:cstheme="minorBidi"/>
          <w:sz w:val="14"/>
          <w:szCs w:val="14"/>
        </w:rPr>
      </w:pPr>
      <w:r>
        <w:rPr>
          <w:noProof/>
          <w:lang w:val="en-IN" w:eastAsia="en-IN"/>
        </w:rPr>
        <mc:AlternateContent>
          <mc:Choice Requires="wps">
            <w:drawing>
              <wp:anchor distT="0" distB="0" distL="0" distR="0" simplePos="0" relativeHeight="251644416" behindDoc="0" locked="0" layoutInCell="1" allowOverlap="1" wp14:anchorId="3ADA7973" wp14:editId="6A71F66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8843E" id="Line 3" o:spid="_x0000_s1026" style="position:absolute;z-index:251644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r w:rsidR="001E1C90" w:rsidRPr="001E1C90">
        <w:rPr>
          <w:rFonts w:asciiTheme="minorBidi" w:hAnsiTheme="minorBidi" w:cstheme="minorBidi"/>
          <w:color w:val="000000"/>
          <w:sz w:val="14"/>
          <w:szCs w:val="14"/>
        </w:rPr>
        <w:t>Abdulaziz Sobhi is a final-year medical student from Egypt with a strong passion for surgery and trauma. He currently serves as President of the Surgery Club, where he leads initiatives to foster surgical interest and skills among medical students. Abdulaziz has four publications, with two additional works in progress, reflecting his dedication to research and academic growth. With a deep commitment to advancing his surgical knowledge, he actively engages in conferences, case discussions, and collaborative projects. His career goals are centered on becoming a skilled surgeon who contributes to both patient care and the academic surgical community.</w:t>
      </w:r>
    </w:p>
    <w:p w14:paraId="50CDDF7D" w14:textId="33EABB2B" w:rsidR="00AE3E37" w:rsidRPr="00B21A57" w:rsidRDefault="00A9710C" w:rsidP="001E1C90">
      <w:pPr>
        <w:spacing w:before="39"/>
        <w:rPr>
          <w:rFonts w:ascii="Minion Pro"/>
          <w:b/>
          <w:sz w:val="20"/>
        </w:rPr>
      </w:pPr>
      <w:r w:rsidRPr="00B21A57">
        <w:rPr>
          <w:rFonts w:ascii="Minion Pro"/>
          <w:b/>
          <w:sz w:val="20"/>
        </w:rPr>
        <w:t>Notes/Comments:</w:t>
      </w:r>
    </w:p>
    <w:p w14:paraId="0503AC0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8EB7EC7" w14:textId="6163F378"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96A5D" w14:textId="77777777" w:rsidR="0011025D" w:rsidRDefault="0011025D">
      <w:r>
        <w:separator/>
      </w:r>
    </w:p>
  </w:endnote>
  <w:endnote w:type="continuationSeparator" w:id="0">
    <w:p w14:paraId="7058C980" w14:textId="77777777" w:rsidR="0011025D" w:rsidRDefault="00110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yriad Pro">
    <w:altName w:val="Corbel"/>
    <w:panose1 w:val="020B0604020202020204"/>
    <w:charset w:val="00"/>
    <w:family w:val="swiss"/>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EDF9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0CA7A17" wp14:editId="32BA891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797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004A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A7A1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4C77979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004A1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9291A4E" wp14:editId="78E306F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A86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38ED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91A4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19A86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038ED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8F0966" wp14:editId="626855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18B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458CD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F096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3EB18B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C458CD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FEA5F" w14:textId="77777777" w:rsidR="0011025D" w:rsidRDefault="0011025D">
      <w:r>
        <w:separator/>
      </w:r>
    </w:p>
  </w:footnote>
  <w:footnote w:type="continuationSeparator" w:id="0">
    <w:p w14:paraId="3CE8194A" w14:textId="77777777" w:rsidR="0011025D" w:rsidRDefault="00110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5BFF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3D3D142" wp14:editId="500FAAF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36DA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3D14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57A36DA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41EA558" wp14:editId="26B9CBC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C19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EF4EE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EA55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05CC19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EF4EE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22B2ACB"/>
    <w:multiLevelType w:val="hybridMultilevel"/>
    <w:tmpl w:val="31DE6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5257880">
    <w:abstractNumId w:val="0"/>
  </w:num>
  <w:num w:numId="2" w16cid:durableId="2099524596">
    <w:abstractNumId w:val="1"/>
  </w:num>
  <w:num w:numId="3" w16cid:durableId="1251278925">
    <w:abstractNumId w:val="0"/>
    <w:lvlOverride w:ilvl="0">
      <w:startOverride w:val="1"/>
    </w:lvlOverride>
    <w:lvlOverride w:ilvl="1"/>
    <w:lvlOverride w:ilvl="2"/>
    <w:lvlOverride w:ilvl="3"/>
    <w:lvlOverride w:ilvl="4"/>
    <w:lvlOverride w:ilvl="5"/>
    <w:lvlOverride w:ilvl="6"/>
    <w:lvlOverride w:ilvl="7"/>
    <w:lvlOverride w:ilvl="8"/>
  </w:num>
  <w:num w:numId="4" w16cid:durableId="1321083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1025D"/>
    <w:rsid w:val="001263DF"/>
    <w:rsid w:val="001E1C90"/>
    <w:rsid w:val="001E763C"/>
    <w:rsid w:val="00292ED9"/>
    <w:rsid w:val="002B5447"/>
    <w:rsid w:val="00314AFB"/>
    <w:rsid w:val="00371DC6"/>
    <w:rsid w:val="003B76D9"/>
    <w:rsid w:val="00404E5B"/>
    <w:rsid w:val="00414F7B"/>
    <w:rsid w:val="004355DC"/>
    <w:rsid w:val="004749B4"/>
    <w:rsid w:val="00494130"/>
    <w:rsid w:val="004F3523"/>
    <w:rsid w:val="005973B9"/>
    <w:rsid w:val="005B3A56"/>
    <w:rsid w:val="006060CE"/>
    <w:rsid w:val="0063497F"/>
    <w:rsid w:val="00707BC7"/>
    <w:rsid w:val="0078738A"/>
    <w:rsid w:val="00873DF0"/>
    <w:rsid w:val="008756E6"/>
    <w:rsid w:val="009B2D44"/>
    <w:rsid w:val="00A07E82"/>
    <w:rsid w:val="00A93B24"/>
    <w:rsid w:val="00A9710C"/>
    <w:rsid w:val="00AE3E37"/>
    <w:rsid w:val="00B21A57"/>
    <w:rsid w:val="00C33602"/>
    <w:rsid w:val="00CD6F55"/>
    <w:rsid w:val="00D62425"/>
    <w:rsid w:val="00DE3104"/>
    <w:rsid w:val="00EC165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F0FBA"/>
  <w15:docId w15:val="{73360EF9-3FD4-174D-B69B-8927358E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A93B24"/>
    <w:pPr>
      <w:widowControl/>
      <w:spacing w:before="100" w:beforeAutospacing="1" w:after="100" w:afterAutospacing="1"/>
    </w:pPr>
    <w:rPr>
      <w:rFonts w:ascii="Times New Roman" w:eastAsia="Times New Roman" w:hAnsi="Times New Roman" w:cs="Times New Roman"/>
      <w:sz w:val="24"/>
      <w:szCs w:val="24"/>
      <w:lang w:val="en-AE"/>
    </w:rPr>
  </w:style>
  <w:style w:type="character" w:styleId="Strong">
    <w:name w:val="Strong"/>
    <w:basedOn w:val="DefaultParagraphFont"/>
    <w:uiPriority w:val="22"/>
    <w:qFormat/>
    <w:rsid w:val="00A93B24"/>
    <w:rPr>
      <w:b/>
      <w:bCs/>
    </w:rPr>
  </w:style>
  <w:style w:type="character" w:customStyle="1" w:styleId="apple-converted-space">
    <w:name w:val="apple-converted-space"/>
    <w:basedOn w:val="DefaultParagraphFont"/>
    <w:rsid w:val="00A93B24"/>
  </w:style>
  <w:style w:type="paragraph" w:customStyle="1" w:styleId="p1">
    <w:name w:val="p1"/>
    <w:basedOn w:val="Normal"/>
    <w:rsid w:val="00A93B24"/>
    <w:pPr>
      <w:widowControl/>
    </w:pPr>
    <w:rPr>
      <w:rFonts w:ascii="Helvetica" w:eastAsia="Times New Roman" w:hAnsi="Helvetica" w:cs="Times New Roman"/>
      <w:color w:val="141414"/>
      <w:sz w:val="10"/>
      <w:szCs w:val="10"/>
      <w:lang w:val="en-AE"/>
    </w:rPr>
  </w:style>
  <w:style w:type="character" w:styleId="Emphasis">
    <w:name w:val="Emphasis"/>
    <w:basedOn w:val="DefaultParagraphFont"/>
    <w:uiPriority w:val="20"/>
    <w:qFormat/>
    <w:rsid w:val="00707B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azoz sobhi</cp:lastModifiedBy>
  <cp:revision>2</cp:revision>
  <dcterms:created xsi:type="dcterms:W3CDTF">2025-09-24T12:25:00Z</dcterms:created>
  <dcterms:modified xsi:type="dcterms:W3CDTF">2025-09-24T12:25:00Z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