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5298" w:rsidRDefault="00D95298">
      <w:pPr>
        <w:pageBreakBefore/>
        <w:spacing w:after="0" w:line="240" w:lineRule="auto"/>
      </w:pPr>
    </w:p>
    <w:p w:rsidR="00D95298" w:rsidRPr="00DD1808" w:rsidRDefault="00E460C5">
      <w:pPr>
        <w:spacing w:after="0" w:line="240" w:lineRule="auto"/>
        <w:rPr>
          <w:sz w:val="96"/>
          <w:szCs w:val="96"/>
        </w:rPr>
      </w:pPr>
      <w:r w:rsidRPr="00DD1808">
        <w:rPr>
          <w:rFonts w:ascii="Arial" w:eastAsia="Arial" w:hAnsi="Arial" w:cs="Arial"/>
          <w:color w:val="252525"/>
          <w:sz w:val="96"/>
          <w:szCs w:val="96"/>
        </w:rPr>
        <w:t xml:space="preserve">Loss of Trial Femoral Head, A Rare Intraoperative Complication During Total   Hip Arthroplasty: A Case Report </w:t>
      </w:r>
    </w:p>
    <w:p w:rsidR="00D95298" w:rsidRDefault="00D95298">
      <w:pPr>
        <w:spacing w:after="0" w:line="204" w:lineRule="auto"/>
        <w:rPr>
          <w:rFonts w:ascii="Arial" w:hAnsi="Arial" w:cs="Arial"/>
          <w:sz w:val="56"/>
        </w:rPr>
      </w:pPr>
    </w:p>
    <w:p w:rsidR="00D95298" w:rsidRDefault="00E460C5">
      <w:pPr>
        <w:spacing w:after="0" w:line="240" w:lineRule="auto"/>
      </w:pPr>
      <w:proofErr w:type="spellStart"/>
      <w:r>
        <w:rPr>
          <w:rFonts w:ascii="Arial" w:eastAsia="Arial" w:hAnsi="Arial" w:cs="Arial"/>
          <w:color w:val="252525"/>
          <w:sz w:val="56"/>
        </w:rPr>
        <w:t>Dr.</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Shubham</w:t>
      </w:r>
      <w:proofErr w:type="spellEnd"/>
      <w:r>
        <w:rPr>
          <w:rFonts w:ascii="Arial" w:eastAsia="Arial" w:hAnsi="Arial" w:cs="Arial"/>
          <w:color w:val="252525"/>
          <w:sz w:val="56"/>
        </w:rPr>
        <w:t xml:space="preserve"> Y. </w:t>
      </w:r>
      <w:proofErr w:type="spellStart"/>
      <w:r>
        <w:rPr>
          <w:rFonts w:ascii="Arial" w:eastAsia="Arial" w:hAnsi="Arial" w:cs="Arial"/>
          <w:color w:val="252525"/>
          <w:sz w:val="56"/>
        </w:rPr>
        <w:t>Dakhode</w:t>
      </w:r>
      <w:proofErr w:type="spellEnd"/>
    </w:p>
    <w:p w:rsidR="00D95298" w:rsidRDefault="00E460C5">
      <w:pPr>
        <w:spacing w:after="0" w:line="240" w:lineRule="auto"/>
      </w:pPr>
      <w:r>
        <w:rPr>
          <w:rFonts w:ascii="Arial" w:eastAsia="Arial" w:hAnsi="Arial" w:cs="Arial"/>
          <w:color w:val="252525"/>
          <w:sz w:val="56"/>
        </w:rPr>
        <w:t>Senior Resident, Department of Orthopaedics,</w:t>
      </w:r>
    </w:p>
    <w:p w:rsidR="00D95298" w:rsidRDefault="00E460C5">
      <w:pPr>
        <w:spacing w:after="0" w:line="240" w:lineRule="auto"/>
      </w:pPr>
      <w:r>
        <w:rPr>
          <w:rFonts w:ascii="Arial" w:eastAsia="Arial" w:hAnsi="Arial" w:cs="Arial"/>
          <w:color w:val="252525"/>
          <w:sz w:val="56"/>
        </w:rPr>
        <w:t>TNMC &amp; BYL Ch. Nair Hospital, Mumbai</w:t>
      </w:r>
    </w:p>
    <w:p w:rsidR="00D95298" w:rsidRDefault="00D95298">
      <w:pPr>
        <w:spacing w:after="0" w:line="204" w:lineRule="auto"/>
        <w:rPr>
          <w:rFonts w:ascii="Arial" w:hAnsi="Arial" w:cs="Arial"/>
          <w:sz w:val="56"/>
        </w:rPr>
      </w:pPr>
    </w:p>
    <w:p w:rsidR="00D95298" w:rsidRDefault="00E460C5">
      <w:pPr>
        <w:spacing w:after="0" w:line="240" w:lineRule="auto"/>
      </w:pPr>
      <w:proofErr w:type="spellStart"/>
      <w:r>
        <w:rPr>
          <w:rFonts w:ascii="Arial" w:eastAsia="Arial" w:hAnsi="Arial" w:cs="Arial"/>
          <w:color w:val="252525"/>
          <w:sz w:val="56"/>
        </w:rPr>
        <w:t>Dr.</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Ketan</w:t>
      </w:r>
      <w:proofErr w:type="spellEnd"/>
      <w:r>
        <w:rPr>
          <w:rFonts w:ascii="Arial" w:eastAsia="Arial" w:hAnsi="Arial" w:cs="Arial"/>
          <w:color w:val="252525"/>
          <w:sz w:val="56"/>
        </w:rPr>
        <w:t xml:space="preserve"> M. </w:t>
      </w:r>
      <w:proofErr w:type="spellStart"/>
      <w:r>
        <w:rPr>
          <w:rFonts w:ascii="Arial" w:eastAsia="Arial" w:hAnsi="Arial" w:cs="Arial"/>
          <w:color w:val="252525"/>
          <w:sz w:val="56"/>
        </w:rPr>
        <w:t>Naik</w:t>
      </w:r>
      <w:proofErr w:type="spellEnd"/>
    </w:p>
    <w:p w:rsidR="00D95298" w:rsidRDefault="00E460C5">
      <w:pPr>
        <w:spacing w:after="0" w:line="240" w:lineRule="auto"/>
      </w:pPr>
      <w:r>
        <w:rPr>
          <w:rFonts w:ascii="Arial" w:eastAsia="Arial" w:hAnsi="Arial" w:cs="Arial"/>
          <w:color w:val="252525"/>
          <w:sz w:val="56"/>
        </w:rPr>
        <w:t xml:space="preserve">Senior </w:t>
      </w:r>
      <w:r>
        <w:rPr>
          <w:rFonts w:ascii="Arial" w:eastAsia="Arial" w:hAnsi="Arial" w:cs="Arial"/>
          <w:color w:val="252525"/>
          <w:sz w:val="56"/>
        </w:rPr>
        <w:t>Resident, Department of Orthopaedics,</w:t>
      </w:r>
    </w:p>
    <w:p w:rsidR="00D95298" w:rsidRDefault="00E460C5">
      <w:pPr>
        <w:spacing w:after="0" w:line="240" w:lineRule="auto"/>
      </w:pPr>
      <w:r>
        <w:rPr>
          <w:rFonts w:ascii="Arial" w:eastAsia="Arial" w:hAnsi="Arial" w:cs="Arial"/>
          <w:color w:val="252525"/>
          <w:sz w:val="56"/>
        </w:rPr>
        <w:t>TNMC &amp; BYL Ch. Nair Hospital, Mumbai</w:t>
      </w:r>
    </w:p>
    <w:p w:rsidR="00D95298" w:rsidRDefault="00D95298">
      <w:pPr>
        <w:spacing w:after="0" w:line="204" w:lineRule="auto"/>
        <w:rPr>
          <w:rFonts w:ascii="Arial" w:hAnsi="Arial" w:cs="Arial"/>
          <w:sz w:val="56"/>
        </w:rPr>
      </w:pPr>
    </w:p>
    <w:p w:rsidR="00D95298" w:rsidRDefault="00E460C5">
      <w:pPr>
        <w:spacing w:after="0" w:line="240" w:lineRule="auto"/>
      </w:pPr>
      <w:proofErr w:type="spellStart"/>
      <w:r>
        <w:rPr>
          <w:rFonts w:ascii="Arial" w:eastAsia="Arial" w:hAnsi="Arial" w:cs="Arial"/>
          <w:color w:val="252525"/>
          <w:sz w:val="56"/>
        </w:rPr>
        <w:t>Tanmay</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Avhad</w:t>
      </w:r>
      <w:proofErr w:type="spellEnd"/>
    </w:p>
    <w:p w:rsidR="00D95298" w:rsidRDefault="00E460C5">
      <w:pPr>
        <w:spacing w:after="0" w:line="240" w:lineRule="auto"/>
      </w:pPr>
      <w:r>
        <w:rPr>
          <w:rFonts w:ascii="Arial" w:eastAsia="Arial" w:hAnsi="Arial" w:cs="Arial"/>
          <w:color w:val="252525"/>
          <w:sz w:val="56"/>
        </w:rPr>
        <w:t>Junior Resident, Department of Orthopaedics,</w:t>
      </w:r>
    </w:p>
    <w:p w:rsidR="00D95298" w:rsidRDefault="00E460C5">
      <w:pPr>
        <w:spacing w:after="0" w:line="240" w:lineRule="auto"/>
      </w:pPr>
      <w:r>
        <w:rPr>
          <w:rFonts w:ascii="Arial" w:eastAsia="Arial" w:hAnsi="Arial" w:cs="Arial"/>
          <w:color w:val="252525"/>
          <w:sz w:val="56"/>
        </w:rPr>
        <w:t>TNMC &amp; BYL Ch. Nair Hospital, Mumbai</w:t>
      </w:r>
    </w:p>
    <w:p w:rsidR="00D95298" w:rsidRDefault="00D95298">
      <w:pPr>
        <w:pageBreakBefore/>
        <w:spacing w:after="0" w:line="240" w:lineRule="auto"/>
      </w:pPr>
    </w:p>
    <w:p w:rsidR="00D95298" w:rsidRDefault="00D95298">
      <w:pPr>
        <w:spacing w:after="0" w:line="204" w:lineRule="auto"/>
        <w:rPr>
          <w:rFonts w:ascii="Arial" w:hAnsi="Arial" w:cs="Arial"/>
          <w:sz w:val="56"/>
        </w:rPr>
      </w:pPr>
    </w:p>
    <w:p w:rsidR="00D95298" w:rsidRDefault="00E460C5">
      <w:pPr>
        <w:spacing w:after="0" w:line="240" w:lineRule="auto"/>
      </w:pPr>
      <w:r w:rsidRPr="00DD1808">
        <w:rPr>
          <w:rFonts w:ascii="Arial" w:eastAsia="Arial" w:hAnsi="Arial" w:cs="Arial"/>
          <w:color w:val="252525"/>
          <w:sz w:val="56"/>
          <w:u w:val="single"/>
        </w:rPr>
        <w:t>Abstract</w:t>
      </w:r>
      <w:r>
        <w:rPr>
          <w:rFonts w:ascii="Arial" w:eastAsia="Arial" w:hAnsi="Arial" w:cs="Arial"/>
          <w:color w:val="252525"/>
          <w:sz w:val="56"/>
        </w:rPr>
        <w:t>:</w:t>
      </w:r>
    </w:p>
    <w:p w:rsidR="00D95298" w:rsidRDefault="00E460C5" w:rsidP="00732463">
      <w:pPr>
        <w:spacing w:after="0" w:line="240" w:lineRule="auto"/>
        <w:jc w:val="both"/>
      </w:pPr>
      <w:r>
        <w:rPr>
          <w:rFonts w:ascii="Arial" w:eastAsia="Arial" w:hAnsi="Arial" w:cs="Arial"/>
          <w:color w:val="252525"/>
          <w:sz w:val="56"/>
        </w:rPr>
        <w:t>The  one of the most important  step while performing total  hip replacem</w:t>
      </w:r>
      <w:r>
        <w:rPr>
          <w:rFonts w:ascii="Arial" w:eastAsia="Arial" w:hAnsi="Arial" w:cs="Arial"/>
          <w:color w:val="252525"/>
          <w:sz w:val="56"/>
        </w:rPr>
        <w:t>ent  is trial  reduction of implant. While dislocating or reducing trail implant  the femoral  trial head  may disengage and migrate into the deep  tissue  space of  the pelvis.  Such a complication can  be  very frustrating  to the  surgeon and  sometimes</w:t>
      </w:r>
      <w:r>
        <w:rPr>
          <w:rFonts w:ascii="Arial" w:eastAsia="Arial" w:hAnsi="Arial" w:cs="Arial"/>
          <w:color w:val="252525"/>
          <w:sz w:val="56"/>
        </w:rPr>
        <w:t xml:space="preserve"> to the  patient  also.  70-year-old male  farmer presented with  right  neck  femur fracture. The patient  was planned  for total  hip replacement. The trial  reduction was done and the hip relocated and checked for range and  stability.  On  performing t</w:t>
      </w:r>
      <w:r>
        <w:rPr>
          <w:rFonts w:ascii="Arial" w:eastAsia="Arial" w:hAnsi="Arial" w:cs="Arial"/>
          <w:color w:val="252525"/>
          <w:sz w:val="56"/>
        </w:rPr>
        <w:t xml:space="preserve">he  dislocation </w:t>
      </w:r>
      <w:proofErr w:type="spellStart"/>
      <w:r>
        <w:rPr>
          <w:rFonts w:ascii="Arial" w:eastAsia="Arial" w:hAnsi="Arial" w:cs="Arial"/>
          <w:color w:val="252525"/>
          <w:sz w:val="56"/>
        </w:rPr>
        <w:t>maneuver</w:t>
      </w:r>
      <w:proofErr w:type="spellEnd"/>
      <w:r>
        <w:rPr>
          <w:rFonts w:ascii="Arial" w:eastAsia="Arial" w:hAnsi="Arial" w:cs="Arial"/>
          <w:color w:val="252525"/>
          <w:sz w:val="56"/>
        </w:rPr>
        <w:t xml:space="preserve"> the  trial  head disengaged  and  migrated into the surrounding soft tissue and could not be visualized  in spite  of  multiple  attempts. The  Final head  was attached and the final</w:t>
      </w:r>
      <w:r w:rsidR="00A413B3">
        <w:rPr>
          <w:rFonts w:ascii="Arial" w:eastAsia="Arial" w:hAnsi="Arial" w:cs="Arial"/>
          <w:color w:val="252525"/>
          <w:sz w:val="56"/>
          <w:lang/>
        </w:rPr>
        <w:t xml:space="preserve"> r</w:t>
      </w:r>
      <w:proofErr w:type="spellStart"/>
      <w:r>
        <w:rPr>
          <w:rFonts w:ascii="Arial" w:eastAsia="Arial" w:hAnsi="Arial" w:cs="Arial"/>
          <w:color w:val="252525"/>
          <w:sz w:val="56"/>
        </w:rPr>
        <w:t>eduction</w:t>
      </w:r>
      <w:proofErr w:type="spellEnd"/>
      <w:r>
        <w:rPr>
          <w:rFonts w:ascii="Arial" w:eastAsia="Arial" w:hAnsi="Arial" w:cs="Arial"/>
          <w:color w:val="252525"/>
          <w:sz w:val="56"/>
        </w:rPr>
        <w:t xml:space="preserve">  performed  and the patient was  clo</w:t>
      </w:r>
      <w:r>
        <w:rPr>
          <w:rFonts w:ascii="Arial" w:eastAsia="Arial" w:hAnsi="Arial" w:cs="Arial"/>
          <w:color w:val="252525"/>
          <w:sz w:val="56"/>
        </w:rPr>
        <w:t xml:space="preserve">sed.  The  trial  head  couldn't  be  detected  on  the  portable  fluoroscopy  machine  and  immediate  radiographs.  A  CT  on  the  3rd post-operative  day  revealed  that  the  trial  </w:t>
      </w:r>
      <w:r>
        <w:rPr>
          <w:rFonts w:ascii="Arial" w:eastAsia="Arial" w:hAnsi="Arial" w:cs="Arial"/>
          <w:color w:val="252525"/>
          <w:sz w:val="56"/>
        </w:rPr>
        <w:lastRenderedPageBreak/>
        <w:t xml:space="preserve">head  was  lying  next  to  the  iliac  bone,  within  the  pelvis. </w:t>
      </w:r>
      <w:r>
        <w:rPr>
          <w:rFonts w:ascii="Arial" w:eastAsia="Arial" w:hAnsi="Arial" w:cs="Arial"/>
          <w:color w:val="252525"/>
          <w:sz w:val="56"/>
        </w:rPr>
        <w:t xml:space="preserve"> A  3,  6  and  12  month  follow  up  of  the patient showed a normal clinical examination and patient was able to walk full weight bearing. </w:t>
      </w:r>
    </w:p>
    <w:p w:rsidR="00D95298" w:rsidRDefault="00E460C5" w:rsidP="00732463">
      <w:pPr>
        <w:spacing w:after="0" w:line="240" w:lineRule="auto"/>
        <w:jc w:val="both"/>
      </w:pPr>
      <w:r>
        <w:rPr>
          <w:rFonts w:ascii="Arial" w:eastAsia="Arial" w:hAnsi="Arial" w:cs="Arial"/>
          <w:color w:val="252525"/>
          <w:sz w:val="56"/>
        </w:rPr>
        <w:t>Conclusion: Although a  rare complication,  but  surgeon should know  about this  complication.  Once  disengaged</w:t>
      </w:r>
      <w:r>
        <w:rPr>
          <w:rFonts w:ascii="Arial" w:eastAsia="Arial" w:hAnsi="Arial" w:cs="Arial"/>
          <w:color w:val="252525"/>
          <w:sz w:val="56"/>
        </w:rPr>
        <w:t xml:space="preserve">  it  is  very  difficult  to  retrieve  the trial  head  from the soft tissue. Various precautions have to be kept in mind to prevent its occurrence. The  trial-head may be kept in situ as it’s a sterile implant  and the  patient  may be followed-up to as</w:t>
      </w:r>
      <w:r>
        <w:rPr>
          <w:rFonts w:ascii="Arial" w:eastAsia="Arial" w:hAnsi="Arial" w:cs="Arial"/>
          <w:color w:val="252525"/>
          <w:sz w:val="56"/>
        </w:rPr>
        <w:t>sess  for any complications.  We may also suggest</w:t>
      </w:r>
      <w:r w:rsidR="00A413B3">
        <w:rPr>
          <w:rFonts w:ascii="Arial" w:eastAsia="Arial" w:hAnsi="Arial" w:cs="Arial"/>
          <w:color w:val="252525"/>
          <w:sz w:val="56"/>
          <w:lang/>
        </w:rPr>
        <w:t xml:space="preserve"> im</w:t>
      </w:r>
      <w:r>
        <w:rPr>
          <w:rFonts w:ascii="Arial" w:eastAsia="Arial" w:hAnsi="Arial" w:cs="Arial"/>
          <w:color w:val="252525"/>
          <w:sz w:val="56"/>
        </w:rPr>
        <w:t>plant  manufacturers  to have radio-opaque trial  implants  to allow  for  easier  detection via fluoroscopy in the event of disengagement</w:t>
      </w:r>
      <w:r>
        <w:rPr>
          <w:rFonts w:ascii="Arial" w:eastAsia="Arial" w:hAnsi="Arial" w:cs="Arial"/>
          <w:color w:val="252525"/>
          <w:sz w:val="56"/>
          <w:lang/>
        </w:rPr>
        <w:t>.</w:t>
      </w:r>
    </w:p>
    <w:p w:rsidR="00D95298" w:rsidRDefault="00D95298" w:rsidP="00732463">
      <w:pPr>
        <w:spacing w:after="0" w:line="204" w:lineRule="auto"/>
        <w:jc w:val="both"/>
        <w:rPr>
          <w:rFonts w:ascii="Arial" w:hAnsi="Arial" w:cs="Arial"/>
          <w:sz w:val="56"/>
        </w:rPr>
      </w:pPr>
    </w:p>
    <w:p w:rsidR="00A413B3" w:rsidRDefault="00A413B3" w:rsidP="00732463">
      <w:pPr>
        <w:spacing w:after="0" w:line="240" w:lineRule="auto"/>
        <w:jc w:val="both"/>
        <w:rPr>
          <w:rFonts w:ascii="Arial" w:eastAsia="Arial" w:hAnsi="Arial" w:cs="Arial"/>
          <w:color w:val="252525"/>
          <w:sz w:val="56"/>
        </w:rPr>
      </w:pPr>
    </w:p>
    <w:p w:rsidR="00D95298" w:rsidRDefault="00E460C5" w:rsidP="00732463">
      <w:pPr>
        <w:spacing w:after="0" w:line="240" w:lineRule="auto"/>
        <w:jc w:val="both"/>
      </w:pPr>
      <w:r>
        <w:rPr>
          <w:rFonts w:ascii="Arial" w:eastAsia="Arial" w:hAnsi="Arial" w:cs="Arial"/>
          <w:color w:val="252525"/>
          <w:sz w:val="56"/>
        </w:rPr>
        <w:t>Recent Publications:</w:t>
      </w:r>
    </w:p>
    <w:p w:rsidR="00D95298" w:rsidRDefault="00D95298" w:rsidP="00732463">
      <w:pPr>
        <w:spacing w:after="0" w:line="204" w:lineRule="auto"/>
        <w:jc w:val="both"/>
        <w:rPr>
          <w:rFonts w:ascii="Arial" w:hAnsi="Arial" w:cs="Arial"/>
          <w:sz w:val="56"/>
        </w:rPr>
      </w:pPr>
    </w:p>
    <w:p w:rsidR="00D95298" w:rsidRDefault="00E460C5" w:rsidP="00732463">
      <w:pPr>
        <w:spacing w:after="0" w:line="240" w:lineRule="auto"/>
        <w:jc w:val="both"/>
      </w:pPr>
      <w:r>
        <w:rPr>
          <w:rFonts w:ascii="Arial" w:eastAsia="Arial" w:hAnsi="Arial" w:cs="Arial"/>
          <w:color w:val="252525"/>
          <w:sz w:val="56"/>
        </w:rPr>
        <w:t xml:space="preserve">1. </w:t>
      </w:r>
      <w:proofErr w:type="spellStart"/>
      <w:r>
        <w:rPr>
          <w:rFonts w:ascii="Arial" w:eastAsia="Arial" w:hAnsi="Arial" w:cs="Arial"/>
          <w:color w:val="252525"/>
          <w:sz w:val="56"/>
        </w:rPr>
        <w:t>Abouel-Enin</w:t>
      </w:r>
      <w:proofErr w:type="spellEnd"/>
      <w:r>
        <w:rPr>
          <w:rFonts w:ascii="Arial" w:eastAsia="Arial" w:hAnsi="Arial" w:cs="Arial"/>
          <w:color w:val="252525"/>
          <w:sz w:val="56"/>
        </w:rPr>
        <w:t xml:space="preserve">  S.,  et al. “Intra-pelv</w:t>
      </w:r>
      <w:r>
        <w:rPr>
          <w:rFonts w:ascii="Arial" w:eastAsia="Arial" w:hAnsi="Arial" w:cs="Arial"/>
          <w:color w:val="252525"/>
          <w:sz w:val="56"/>
        </w:rPr>
        <w:t xml:space="preserve">ic migration of femoral  head trial  in  total  hip arthroplasty,  a  rare intra-operative complication: a  systematic literature review”.  </w:t>
      </w:r>
      <w:r>
        <w:rPr>
          <w:rFonts w:ascii="Arial" w:eastAsia="Arial" w:hAnsi="Arial" w:cs="Arial"/>
          <w:color w:val="252525"/>
          <w:sz w:val="56"/>
        </w:rPr>
        <w:lastRenderedPageBreak/>
        <w:t>Musculoskeletal Surgery 100.2 (2016): 77-81.</w:t>
      </w:r>
    </w:p>
    <w:p w:rsidR="00D95298" w:rsidRDefault="00D95298" w:rsidP="00732463">
      <w:pPr>
        <w:spacing w:after="0" w:line="204" w:lineRule="auto"/>
        <w:jc w:val="both"/>
        <w:rPr>
          <w:rFonts w:ascii="Arial" w:hAnsi="Arial" w:cs="Arial"/>
          <w:sz w:val="56"/>
        </w:rPr>
      </w:pPr>
    </w:p>
    <w:p w:rsidR="00D95298" w:rsidRDefault="00E460C5" w:rsidP="00732463">
      <w:pPr>
        <w:spacing w:after="0" w:line="240" w:lineRule="auto"/>
        <w:jc w:val="both"/>
      </w:pPr>
      <w:r>
        <w:rPr>
          <w:rFonts w:ascii="Arial" w:eastAsia="Arial" w:hAnsi="Arial" w:cs="Arial"/>
          <w:color w:val="252525"/>
          <w:sz w:val="56"/>
        </w:rPr>
        <w:t xml:space="preserve">2. </w:t>
      </w:r>
      <w:proofErr w:type="spellStart"/>
      <w:r>
        <w:rPr>
          <w:rFonts w:ascii="Arial" w:eastAsia="Arial" w:hAnsi="Arial" w:cs="Arial"/>
          <w:color w:val="252525"/>
          <w:sz w:val="56"/>
        </w:rPr>
        <w:t>Ikeuchi</w:t>
      </w:r>
      <w:proofErr w:type="spellEnd"/>
      <w:r>
        <w:rPr>
          <w:rFonts w:ascii="Arial" w:eastAsia="Arial" w:hAnsi="Arial" w:cs="Arial"/>
          <w:color w:val="252525"/>
          <w:sz w:val="56"/>
        </w:rPr>
        <w:t xml:space="preserve"> K.,  et al. “Intraoperative migration of the trial  </w:t>
      </w:r>
      <w:r>
        <w:rPr>
          <w:rFonts w:ascii="Arial" w:eastAsia="Arial" w:hAnsi="Arial" w:cs="Arial"/>
          <w:color w:val="252525"/>
          <w:sz w:val="56"/>
        </w:rPr>
        <w:t>femoral head  into  the pelvis  during  total hip  arthroplasty”.  Nagoya Journal of Medical Science  76 (2014): 203-210.</w:t>
      </w:r>
    </w:p>
    <w:p w:rsidR="00D95298" w:rsidRDefault="00D95298" w:rsidP="00732463">
      <w:pPr>
        <w:spacing w:after="0" w:line="204" w:lineRule="auto"/>
        <w:jc w:val="both"/>
        <w:rPr>
          <w:rFonts w:ascii="Arial" w:hAnsi="Arial" w:cs="Arial"/>
          <w:sz w:val="56"/>
        </w:rPr>
      </w:pPr>
    </w:p>
    <w:p w:rsidR="00D95298" w:rsidRDefault="00E460C5" w:rsidP="00732463">
      <w:pPr>
        <w:spacing w:after="0" w:line="240" w:lineRule="auto"/>
        <w:jc w:val="both"/>
      </w:pPr>
      <w:r>
        <w:rPr>
          <w:rFonts w:ascii="Arial" w:eastAsia="Arial" w:hAnsi="Arial" w:cs="Arial"/>
          <w:color w:val="252525"/>
          <w:sz w:val="56"/>
        </w:rPr>
        <w:t xml:space="preserve">3. </w:t>
      </w:r>
      <w:proofErr w:type="spellStart"/>
      <w:r>
        <w:rPr>
          <w:rFonts w:ascii="Arial" w:eastAsia="Arial" w:hAnsi="Arial" w:cs="Arial"/>
          <w:color w:val="252525"/>
          <w:sz w:val="56"/>
        </w:rPr>
        <w:t>Citak</w:t>
      </w:r>
      <w:proofErr w:type="spellEnd"/>
      <w:r>
        <w:rPr>
          <w:rFonts w:ascii="Arial" w:eastAsia="Arial" w:hAnsi="Arial" w:cs="Arial"/>
          <w:color w:val="252525"/>
          <w:sz w:val="56"/>
        </w:rPr>
        <w:t xml:space="preserve"> M.,  et al. “</w:t>
      </w:r>
      <w:proofErr w:type="spellStart"/>
      <w:r>
        <w:rPr>
          <w:rFonts w:ascii="Arial" w:eastAsia="Arial" w:hAnsi="Arial" w:cs="Arial"/>
          <w:color w:val="252525"/>
          <w:sz w:val="56"/>
        </w:rPr>
        <w:t>Intrapelvic</w:t>
      </w:r>
      <w:proofErr w:type="spellEnd"/>
      <w:r>
        <w:rPr>
          <w:rFonts w:ascii="Arial" w:eastAsia="Arial" w:hAnsi="Arial" w:cs="Arial"/>
          <w:color w:val="252525"/>
          <w:sz w:val="56"/>
        </w:rPr>
        <w:t xml:space="preserve"> dislocation</w:t>
      </w:r>
      <w:r w:rsidR="00A413B3">
        <w:rPr>
          <w:rFonts w:ascii="Arial" w:eastAsia="Arial" w:hAnsi="Arial" w:cs="Arial"/>
          <w:color w:val="252525"/>
          <w:sz w:val="56"/>
          <w:lang/>
        </w:rPr>
        <w:t xml:space="preserve"> of</w:t>
      </w:r>
      <w:r>
        <w:rPr>
          <w:rFonts w:ascii="Arial" w:eastAsia="Arial" w:hAnsi="Arial" w:cs="Arial"/>
          <w:color w:val="252525"/>
          <w:sz w:val="56"/>
        </w:rPr>
        <w:t xml:space="preserve">  a femoral  trial  head during primary  total  hip arthroplasty  requiring laparot</w:t>
      </w:r>
      <w:r>
        <w:rPr>
          <w:rFonts w:ascii="Arial" w:eastAsia="Arial" w:hAnsi="Arial" w:cs="Arial"/>
          <w:color w:val="252525"/>
          <w:sz w:val="56"/>
        </w:rPr>
        <w:t>omy for retrieval”.  The  Open Orthopaedics Journal  7  (2014):  169171.</w:t>
      </w:r>
    </w:p>
    <w:p w:rsidR="00D95298" w:rsidRDefault="00D95298" w:rsidP="00732463">
      <w:pPr>
        <w:spacing w:after="0" w:line="204" w:lineRule="auto"/>
        <w:jc w:val="both"/>
        <w:rPr>
          <w:rFonts w:ascii="Arial" w:hAnsi="Arial" w:cs="Arial"/>
          <w:sz w:val="56"/>
        </w:rPr>
      </w:pPr>
    </w:p>
    <w:p w:rsidR="00D95298" w:rsidRDefault="00E460C5" w:rsidP="00732463">
      <w:pPr>
        <w:spacing w:after="0" w:line="240" w:lineRule="auto"/>
        <w:jc w:val="both"/>
      </w:pPr>
      <w:r>
        <w:rPr>
          <w:rFonts w:ascii="Arial" w:eastAsia="Arial" w:hAnsi="Arial" w:cs="Arial"/>
          <w:color w:val="252525"/>
          <w:sz w:val="56"/>
        </w:rPr>
        <w:t xml:space="preserve">4. </w:t>
      </w:r>
      <w:proofErr w:type="spellStart"/>
      <w:r>
        <w:rPr>
          <w:rFonts w:ascii="Arial" w:eastAsia="Arial" w:hAnsi="Arial" w:cs="Arial"/>
          <w:color w:val="252525"/>
          <w:sz w:val="56"/>
        </w:rPr>
        <w:t>Hamoui</w:t>
      </w:r>
      <w:proofErr w:type="spellEnd"/>
      <w:r>
        <w:rPr>
          <w:rFonts w:ascii="Arial" w:eastAsia="Arial" w:hAnsi="Arial" w:cs="Arial"/>
          <w:color w:val="252525"/>
          <w:sz w:val="56"/>
        </w:rPr>
        <w:t xml:space="preserve"> M.,  et al. “Pitfall  in total  hip arthroplasty: intraoperative migration  of  the trial  femoral  head through the iliopsoas muscle”.  European Journal  of Orthopaedic  S</w:t>
      </w:r>
      <w:r>
        <w:rPr>
          <w:rFonts w:ascii="Arial" w:eastAsia="Arial" w:hAnsi="Arial" w:cs="Arial"/>
          <w:color w:val="252525"/>
          <w:sz w:val="56"/>
        </w:rPr>
        <w:t>urgery and Traumatology  22.8 (2012): 713-716.</w:t>
      </w:r>
    </w:p>
    <w:p w:rsidR="00D95298" w:rsidRDefault="00D95298" w:rsidP="00732463">
      <w:pPr>
        <w:spacing w:after="0" w:line="204" w:lineRule="auto"/>
        <w:jc w:val="both"/>
        <w:rPr>
          <w:rFonts w:ascii="Arial" w:hAnsi="Arial" w:cs="Arial"/>
          <w:sz w:val="56"/>
        </w:rPr>
      </w:pPr>
    </w:p>
    <w:p w:rsidR="00D95298" w:rsidRDefault="00E460C5" w:rsidP="00732463">
      <w:pPr>
        <w:spacing w:after="0" w:line="240" w:lineRule="auto"/>
        <w:jc w:val="both"/>
      </w:pPr>
      <w:r>
        <w:rPr>
          <w:rFonts w:ascii="Arial" w:eastAsia="Arial" w:hAnsi="Arial" w:cs="Arial"/>
          <w:color w:val="252525"/>
          <w:sz w:val="56"/>
        </w:rPr>
        <w:t xml:space="preserve">5. Madsen WY.,  et al. “Successful intraoperative retrieval  of  dislocated  femoral trial head  during total  hip  arthroplasty”.  The </w:t>
      </w:r>
      <w:r>
        <w:rPr>
          <w:rFonts w:ascii="Arial" w:eastAsia="Arial" w:hAnsi="Arial" w:cs="Arial"/>
          <w:color w:val="252525"/>
          <w:sz w:val="56"/>
        </w:rPr>
        <w:lastRenderedPageBreak/>
        <w:t>Journal of Arthroplasty  27.5 (2012): 820. e9-11.</w:t>
      </w:r>
    </w:p>
    <w:p w:rsidR="00D95298" w:rsidRDefault="00D95298" w:rsidP="00732463">
      <w:pPr>
        <w:pageBreakBefore/>
        <w:spacing w:after="0" w:line="240" w:lineRule="auto"/>
        <w:jc w:val="both"/>
      </w:pPr>
    </w:p>
    <w:p w:rsidR="00D95298" w:rsidRDefault="00D95298" w:rsidP="00732463">
      <w:pPr>
        <w:spacing w:after="0" w:line="240" w:lineRule="auto"/>
        <w:jc w:val="both"/>
      </w:pPr>
    </w:p>
    <w:p w:rsidR="00D95298" w:rsidRDefault="00E460C5" w:rsidP="00732463">
      <w:pPr>
        <w:spacing w:after="0" w:line="240" w:lineRule="auto"/>
        <w:jc w:val="both"/>
      </w:pPr>
      <w:r>
        <w:rPr>
          <w:noProof/>
        </w:rPr>
        <w:drawing>
          <wp:inline distT="0" distB="0" distL="0" distR="0">
            <wp:extent cx="3301589" cy="4410551"/>
            <wp:effectExtent l="0" t="0" r="0" b="0"/>
            <wp:docPr id="1" name="Drawing 0" descr="image1655985998931.png"/>
            <wp:cNvGraphicFramePr/>
            <a:graphic xmlns:a="http://schemas.openxmlformats.org/drawingml/2006/main">
              <a:graphicData uri="http://schemas.openxmlformats.org/drawingml/2006/picture">
                <pic:pic xmlns:pic="http://schemas.openxmlformats.org/drawingml/2006/picture">
                  <pic:nvPicPr>
                    <pic:cNvPr id="2" name="Picture 2" descr="image1655985998931.png"/>
                    <pic:cNvPicPr>
                      <a:picLocks noChangeAspect="1"/>
                    </pic:cNvPicPr>
                  </pic:nvPicPr>
                  <pic:blipFill>
                    <a:blip r:embed="rId4"/>
                    <a:stretch>
                      <a:fillRect/>
                    </a:stretch>
                  </pic:blipFill>
                  <pic:spPr>
                    <a:xfrm>
                      <a:off x="0" y="0"/>
                      <a:ext cx="7336864" cy="9801225"/>
                    </a:xfrm>
                    <a:prstGeom prst="rect">
                      <a:avLst/>
                    </a:prstGeom>
                  </pic:spPr>
                </pic:pic>
              </a:graphicData>
            </a:graphic>
          </wp:inline>
        </w:drawing>
      </w:r>
    </w:p>
    <w:p w:rsidR="00D95298" w:rsidRDefault="00D95298" w:rsidP="00732463">
      <w:pPr>
        <w:spacing w:after="0" w:line="204" w:lineRule="auto"/>
        <w:jc w:val="both"/>
        <w:rPr>
          <w:rFonts w:ascii="Arial" w:hAnsi="Arial" w:cs="Arial"/>
          <w:sz w:val="56"/>
        </w:rPr>
      </w:pPr>
    </w:p>
    <w:p w:rsidR="00D95298" w:rsidRDefault="00E460C5" w:rsidP="00732463">
      <w:pPr>
        <w:spacing w:after="0" w:line="240" w:lineRule="auto"/>
        <w:jc w:val="both"/>
      </w:pPr>
      <w:proofErr w:type="spellStart"/>
      <w:r>
        <w:rPr>
          <w:rFonts w:ascii="Arial" w:eastAsia="Arial" w:hAnsi="Arial" w:cs="Arial"/>
          <w:color w:val="252525"/>
          <w:sz w:val="56"/>
        </w:rPr>
        <w:t>Dr.</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Shubham</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Dakho</w:t>
      </w:r>
      <w:r>
        <w:rPr>
          <w:rFonts w:ascii="Arial" w:eastAsia="Arial" w:hAnsi="Arial" w:cs="Arial"/>
          <w:color w:val="252525"/>
          <w:sz w:val="56"/>
        </w:rPr>
        <w:t>de</w:t>
      </w:r>
      <w:proofErr w:type="spellEnd"/>
      <w:r>
        <w:rPr>
          <w:rFonts w:ascii="Arial" w:eastAsia="Arial" w:hAnsi="Arial" w:cs="Arial"/>
          <w:color w:val="252525"/>
          <w:sz w:val="56"/>
        </w:rPr>
        <w:t xml:space="preserve"> is a Orthopaedic Surgeon based in Mumbai, Maharashtra. He has completed his training from the reputed Seth GS Medical College &amp; K.E.M Hospital, Mumbai which is one of the largest Orthopaedic department in Asia. He is specially trained in Knee, Hip repla</w:t>
      </w:r>
      <w:r>
        <w:rPr>
          <w:rFonts w:ascii="Arial" w:eastAsia="Arial" w:hAnsi="Arial" w:cs="Arial"/>
          <w:color w:val="252525"/>
          <w:sz w:val="56"/>
        </w:rPr>
        <w:t xml:space="preserve">cement. He is also trained in Complex trauma, Sport medicine, Hand and Foot deformity correction, </w:t>
      </w:r>
      <w:proofErr w:type="spellStart"/>
      <w:r>
        <w:rPr>
          <w:rFonts w:ascii="Arial" w:eastAsia="Arial" w:hAnsi="Arial" w:cs="Arial"/>
          <w:color w:val="252525"/>
          <w:sz w:val="56"/>
        </w:rPr>
        <w:t>Pediatri</w:t>
      </w:r>
      <w:proofErr w:type="spellEnd"/>
      <w:r w:rsidR="00732463">
        <w:rPr>
          <w:rFonts w:ascii="Arial" w:eastAsia="Arial" w:hAnsi="Arial" w:cs="Arial"/>
          <w:color w:val="252525"/>
          <w:sz w:val="56"/>
          <w:lang/>
        </w:rPr>
        <w:t xml:space="preserve">c </w:t>
      </w:r>
      <w:proofErr w:type="spellStart"/>
      <w:r>
        <w:rPr>
          <w:rFonts w:ascii="Arial" w:eastAsia="Arial" w:hAnsi="Arial" w:cs="Arial"/>
          <w:color w:val="252525"/>
          <w:sz w:val="56"/>
        </w:rPr>
        <w:t>Orthopedics</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Ilizarov</w:t>
      </w:r>
      <w:proofErr w:type="spellEnd"/>
      <w:r>
        <w:rPr>
          <w:rFonts w:ascii="Arial" w:eastAsia="Arial" w:hAnsi="Arial" w:cs="Arial"/>
          <w:color w:val="252525"/>
          <w:sz w:val="56"/>
        </w:rPr>
        <w:t xml:space="preserve"> and limb lengthening. He has a keen interest in academics, teaching and clinical research.</w:t>
      </w:r>
    </w:p>
    <w:p w:rsidR="00D95298" w:rsidRDefault="00D95298" w:rsidP="00732463">
      <w:pPr>
        <w:spacing w:after="0" w:line="240" w:lineRule="auto"/>
        <w:jc w:val="both"/>
      </w:pPr>
    </w:p>
    <w:sectPr w:rsidR="00D95298">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298"/>
    <w:rsid w:val="00732463"/>
    <w:rsid w:val="00A413B3"/>
    <w:rsid w:val="00D95298"/>
    <w:rsid w:val="00DD1808"/>
    <w:rsid w:val="00E460C5"/>
    <w:rsid w:val="00EA0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2990D3"/>
  <w15:docId w15:val="{59CDDBE0-CB38-BB4F-8DC7-52AD03B1D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564</Words>
  <Characters>3218</Characters>
  <Application>Microsoft Office Word</Application>
  <DocSecurity>0</DocSecurity>
  <Lines>26</Lines>
  <Paragraphs>7</Paragraphs>
  <ScaleCrop>false</ScaleCrop>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Shubham Dakhode</cp:lastModifiedBy>
  <cp:revision>6</cp:revision>
  <dcterms:created xsi:type="dcterms:W3CDTF">2022-06-23T12:07:00Z</dcterms:created>
  <dcterms:modified xsi:type="dcterms:W3CDTF">2022-06-23T12:09:00Z</dcterms:modified>
</cp:coreProperties>
</file>