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3604" w:rsidRDefault="00203604">
      <w:pPr>
        <w:pageBreakBefore/>
        <w:spacing w:after="0" w:line="240" w:lineRule="auto"/>
        <w:rPr>
          <w:lang/>
        </w:rPr>
      </w:pPr>
    </w:p>
    <w:p w:rsidR="00203604" w:rsidRPr="002377B2" w:rsidRDefault="002377B2">
      <w:pPr>
        <w:spacing w:after="0" w:line="240" w:lineRule="auto"/>
        <w:rPr>
          <w:b/>
          <w:bCs/>
          <w:sz w:val="96"/>
          <w:szCs w:val="96"/>
        </w:rPr>
      </w:pPr>
      <w:r w:rsidRPr="002377B2">
        <w:rPr>
          <w:rFonts w:ascii="Arial" w:eastAsia="Arial" w:hAnsi="Arial" w:cs="Arial"/>
          <w:b/>
          <w:bCs/>
          <w:color w:val="252525"/>
          <w:sz w:val="96"/>
          <w:szCs w:val="96"/>
        </w:rPr>
        <w:t xml:space="preserve">Bilateral </w:t>
      </w:r>
      <w:proofErr w:type="spellStart"/>
      <w:r w:rsidRPr="002377B2">
        <w:rPr>
          <w:rFonts w:ascii="Arial" w:eastAsia="Arial" w:hAnsi="Arial" w:cs="Arial"/>
          <w:b/>
          <w:bCs/>
          <w:color w:val="252525"/>
          <w:sz w:val="96"/>
          <w:szCs w:val="96"/>
        </w:rPr>
        <w:t>Nontraumatic</w:t>
      </w:r>
      <w:proofErr w:type="spellEnd"/>
      <w:r w:rsidRPr="002377B2">
        <w:rPr>
          <w:rFonts w:ascii="Arial" w:eastAsia="Arial" w:hAnsi="Arial" w:cs="Arial"/>
          <w:b/>
          <w:bCs/>
          <w:color w:val="252525"/>
          <w:sz w:val="96"/>
          <w:szCs w:val="96"/>
        </w:rPr>
        <w:t xml:space="preserve"> Fractures in HIV patients on Long term ART</w:t>
      </w:r>
    </w:p>
    <w:p w:rsidR="00203604" w:rsidRDefault="00203604">
      <w:pPr>
        <w:spacing w:after="0" w:line="204" w:lineRule="auto"/>
        <w:rPr>
          <w:rFonts w:ascii="Arial" w:hAnsi="Arial" w:cs="Arial"/>
          <w:sz w:val="56"/>
        </w:rPr>
      </w:pPr>
    </w:p>
    <w:p w:rsidR="00203604" w:rsidRDefault="002377B2">
      <w:pPr>
        <w:spacing w:after="0" w:line="240" w:lineRule="auto"/>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Shubham</w:t>
      </w:r>
      <w:proofErr w:type="spellEnd"/>
      <w:r>
        <w:rPr>
          <w:rFonts w:ascii="Arial" w:eastAsia="Arial" w:hAnsi="Arial" w:cs="Arial"/>
          <w:color w:val="252525"/>
          <w:sz w:val="56"/>
        </w:rPr>
        <w:t xml:space="preserve"> Y. </w:t>
      </w:r>
      <w:proofErr w:type="spellStart"/>
      <w:r>
        <w:rPr>
          <w:rFonts w:ascii="Arial" w:eastAsia="Arial" w:hAnsi="Arial" w:cs="Arial"/>
          <w:color w:val="252525"/>
          <w:sz w:val="56"/>
        </w:rPr>
        <w:t>Dakhode</w:t>
      </w:r>
      <w:proofErr w:type="spellEnd"/>
    </w:p>
    <w:p w:rsidR="00203604" w:rsidRDefault="002377B2">
      <w:pPr>
        <w:spacing w:after="0" w:line="240" w:lineRule="auto"/>
      </w:pPr>
      <w:r>
        <w:rPr>
          <w:rFonts w:ascii="Arial" w:eastAsia="Arial" w:hAnsi="Arial" w:cs="Arial"/>
          <w:color w:val="252525"/>
          <w:sz w:val="56"/>
        </w:rPr>
        <w:t>Senior Resident, Department of Orthopaedics,</w:t>
      </w:r>
    </w:p>
    <w:p w:rsidR="00203604" w:rsidRDefault="002377B2">
      <w:pPr>
        <w:spacing w:after="0" w:line="240" w:lineRule="auto"/>
      </w:pPr>
      <w:r>
        <w:rPr>
          <w:rFonts w:ascii="Arial" w:eastAsia="Arial" w:hAnsi="Arial" w:cs="Arial"/>
          <w:color w:val="252525"/>
          <w:sz w:val="56"/>
        </w:rPr>
        <w:t>TNMC &amp; BYL Ch. Nair Hospital, Mumbai</w:t>
      </w:r>
    </w:p>
    <w:p w:rsidR="00203604" w:rsidRDefault="00203604">
      <w:pPr>
        <w:spacing w:after="0" w:line="204" w:lineRule="auto"/>
        <w:rPr>
          <w:rFonts w:ascii="Arial" w:hAnsi="Arial" w:cs="Arial"/>
          <w:sz w:val="56"/>
        </w:rPr>
      </w:pPr>
    </w:p>
    <w:p w:rsidR="00203604" w:rsidRDefault="002377B2">
      <w:pPr>
        <w:spacing w:after="0" w:line="240" w:lineRule="auto"/>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Ketan</w:t>
      </w:r>
      <w:proofErr w:type="spellEnd"/>
      <w:r>
        <w:rPr>
          <w:rFonts w:ascii="Arial" w:eastAsia="Arial" w:hAnsi="Arial" w:cs="Arial"/>
          <w:color w:val="252525"/>
          <w:sz w:val="56"/>
        </w:rPr>
        <w:t xml:space="preserve"> M. </w:t>
      </w:r>
      <w:proofErr w:type="spellStart"/>
      <w:r>
        <w:rPr>
          <w:rFonts w:ascii="Arial" w:eastAsia="Arial" w:hAnsi="Arial" w:cs="Arial"/>
          <w:color w:val="252525"/>
          <w:sz w:val="56"/>
        </w:rPr>
        <w:t>Naik</w:t>
      </w:r>
      <w:proofErr w:type="spellEnd"/>
    </w:p>
    <w:p w:rsidR="00203604" w:rsidRDefault="002377B2">
      <w:pPr>
        <w:spacing w:after="0" w:line="240" w:lineRule="auto"/>
      </w:pPr>
      <w:r>
        <w:rPr>
          <w:rFonts w:ascii="Arial" w:eastAsia="Arial" w:hAnsi="Arial" w:cs="Arial"/>
          <w:color w:val="252525"/>
          <w:sz w:val="56"/>
        </w:rPr>
        <w:t>Senior Resident, Department of Orthopaedics,</w:t>
      </w:r>
    </w:p>
    <w:p w:rsidR="00203604" w:rsidRDefault="002377B2">
      <w:pPr>
        <w:spacing w:after="0" w:line="240" w:lineRule="auto"/>
      </w:pPr>
      <w:r>
        <w:rPr>
          <w:rFonts w:ascii="Arial" w:eastAsia="Arial" w:hAnsi="Arial" w:cs="Arial"/>
          <w:color w:val="252525"/>
          <w:sz w:val="56"/>
        </w:rPr>
        <w:t xml:space="preserve">TNMC &amp; BYL Ch. </w:t>
      </w:r>
      <w:r>
        <w:rPr>
          <w:rFonts w:ascii="Arial" w:eastAsia="Arial" w:hAnsi="Arial" w:cs="Arial"/>
          <w:color w:val="252525"/>
          <w:sz w:val="56"/>
        </w:rPr>
        <w:t>Nair Hospital, Mumbai</w:t>
      </w:r>
    </w:p>
    <w:p w:rsidR="00203604" w:rsidRDefault="00203604">
      <w:pPr>
        <w:spacing w:after="0" w:line="204" w:lineRule="auto"/>
        <w:rPr>
          <w:rFonts w:ascii="Arial" w:hAnsi="Arial" w:cs="Arial"/>
          <w:sz w:val="56"/>
        </w:rPr>
      </w:pPr>
    </w:p>
    <w:p w:rsidR="00203604" w:rsidRDefault="002377B2">
      <w:pPr>
        <w:spacing w:after="0" w:line="240" w:lineRule="auto"/>
      </w:pPr>
      <w:proofErr w:type="spellStart"/>
      <w:r>
        <w:rPr>
          <w:rFonts w:ascii="Arial" w:eastAsia="Arial" w:hAnsi="Arial" w:cs="Arial"/>
          <w:color w:val="252525"/>
          <w:sz w:val="56"/>
        </w:rPr>
        <w:t>Tanmay</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Avhad</w:t>
      </w:r>
      <w:proofErr w:type="spellEnd"/>
    </w:p>
    <w:p w:rsidR="00203604" w:rsidRDefault="002377B2">
      <w:pPr>
        <w:spacing w:after="0" w:line="240" w:lineRule="auto"/>
      </w:pPr>
      <w:r>
        <w:rPr>
          <w:rFonts w:ascii="Arial" w:eastAsia="Arial" w:hAnsi="Arial" w:cs="Arial"/>
          <w:color w:val="252525"/>
          <w:sz w:val="56"/>
        </w:rPr>
        <w:t>Junior Resident, Department of Orthopaedics,</w:t>
      </w:r>
    </w:p>
    <w:p w:rsidR="00203604" w:rsidRDefault="002377B2">
      <w:pPr>
        <w:spacing w:after="0" w:line="240" w:lineRule="auto"/>
      </w:pPr>
      <w:r>
        <w:rPr>
          <w:rFonts w:ascii="Arial" w:eastAsia="Arial" w:hAnsi="Arial" w:cs="Arial"/>
          <w:color w:val="252525"/>
          <w:sz w:val="56"/>
        </w:rPr>
        <w:t>TNMC &amp; BYL Ch. Nair Hospital, Mumbai</w:t>
      </w:r>
    </w:p>
    <w:p w:rsidR="00203604" w:rsidRDefault="00203604">
      <w:pPr>
        <w:pageBreakBefore/>
        <w:spacing w:after="0" w:line="240" w:lineRule="auto"/>
      </w:pPr>
    </w:p>
    <w:p w:rsidR="00203604" w:rsidRDefault="002377B2">
      <w:pPr>
        <w:spacing w:after="0" w:line="240" w:lineRule="auto"/>
      </w:pPr>
      <w:r w:rsidRPr="00AB38D3">
        <w:rPr>
          <w:rFonts w:ascii="Arial" w:eastAsia="Arial" w:hAnsi="Arial" w:cs="Arial"/>
          <w:color w:val="252525"/>
          <w:sz w:val="56"/>
          <w:u w:val="single"/>
        </w:rPr>
        <w:t>Abstract</w:t>
      </w:r>
      <w:r>
        <w:rPr>
          <w:rFonts w:ascii="Arial" w:eastAsia="Arial" w:hAnsi="Arial" w:cs="Arial"/>
          <w:color w:val="252525"/>
          <w:sz w:val="56"/>
        </w:rPr>
        <w:t>:</w:t>
      </w:r>
    </w:p>
    <w:p w:rsidR="00203604" w:rsidRDefault="00203604">
      <w:pPr>
        <w:spacing w:after="0" w:line="204" w:lineRule="auto"/>
        <w:rPr>
          <w:rFonts w:ascii="Arial" w:hAnsi="Arial" w:cs="Arial"/>
          <w:sz w:val="56"/>
        </w:rPr>
      </w:pPr>
    </w:p>
    <w:p w:rsidR="00AB38D3" w:rsidRDefault="002377B2" w:rsidP="00BD2D57">
      <w:pPr>
        <w:spacing w:after="0" w:line="240" w:lineRule="auto"/>
        <w:jc w:val="both"/>
        <w:rPr>
          <w:rFonts w:ascii="Arial" w:eastAsia="Arial" w:hAnsi="Arial" w:cs="Arial"/>
          <w:color w:val="252525"/>
          <w:sz w:val="56"/>
        </w:rPr>
      </w:pPr>
      <w:r w:rsidRPr="00AB38D3">
        <w:rPr>
          <w:rFonts w:ascii="Arial" w:eastAsia="Arial" w:hAnsi="Arial" w:cs="Arial"/>
          <w:color w:val="252525"/>
          <w:sz w:val="56"/>
          <w:u w:val="single"/>
        </w:rPr>
        <w:t>Introduction</w:t>
      </w:r>
      <w:r>
        <w:rPr>
          <w:rFonts w:ascii="Arial" w:eastAsia="Arial" w:hAnsi="Arial" w:cs="Arial"/>
          <w:color w:val="252525"/>
          <w:sz w:val="56"/>
        </w:rPr>
        <w:t>: It has been noticed that Human-Immunodeficiency Virus(HIV) infection and Anti-Retro Viral(ART) therapy, both Ind</w:t>
      </w:r>
      <w:r>
        <w:rPr>
          <w:rFonts w:ascii="Arial" w:eastAsia="Arial" w:hAnsi="Arial" w:cs="Arial"/>
          <w:color w:val="252525"/>
          <w:sz w:val="56"/>
        </w:rPr>
        <w:t>ividually lead to bone metabolic disorders and hence such patients have an increased propensity for fractures following trivial trauma.</w:t>
      </w:r>
    </w:p>
    <w:p w:rsidR="00AB38D3" w:rsidRDefault="002377B2" w:rsidP="00BD2D57">
      <w:pPr>
        <w:spacing w:after="0" w:line="240" w:lineRule="auto"/>
        <w:jc w:val="both"/>
        <w:rPr>
          <w:rFonts w:ascii="Arial" w:eastAsia="Arial" w:hAnsi="Arial" w:cs="Arial"/>
          <w:color w:val="252525"/>
          <w:sz w:val="56"/>
        </w:rPr>
      </w:pPr>
      <w:r w:rsidRPr="00AB38D3">
        <w:rPr>
          <w:rFonts w:ascii="Arial" w:eastAsia="Arial" w:hAnsi="Arial" w:cs="Arial"/>
          <w:color w:val="252525"/>
          <w:sz w:val="56"/>
          <w:u w:val="single"/>
        </w:rPr>
        <w:t>Case Report</w:t>
      </w:r>
      <w:r>
        <w:rPr>
          <w:rFonts w:ascii="Arial" w:eastAsia="Arial" w:hAnsi="Arial" w:cs="Arial"/>
          <w:color w:val="252525"/>
          <w:sz w:val="56"/>
        </w:rPr>
        <w:t>: We present two cases, first a 52-year-old female with right hip pain and inability to walk since one week f</w:t>
      </w:r>
      <w:r>
        <w:rPr>
          <w:rFonts w:ascii="Arial" w:eastAsia="Arial" w:hAnsi="Arial" w:cs="Arial"/>
          <w:color w:val="252525"/>
          <w:sz w:val="56"/>
        </w:rPr>
        <w:t>ollowing insignificant trauma and associated dull pain in left hip since two months ago. Radiographs revealed a right intertrochanteric fracture and a left unicortical fracture at level of lesser-trochanter. Patient was managed with closed proximal femoral</w:t>
      </w:r>
      <w:r>
        <w:rPr>
          <w:rFonts w:ascii="Arial" w:eastAsia="Arial" w:hAnsi="Arial" w:cs="Arial"/>
          <w:color w:val="252525"/>
          <w:sz w:val="56"/>
        </w:rPr>
        <w:t xml:space="preserve"> nailing bilaterally and subsequently mobilized. </w:t>
      </w:r>
    </w:p>
    <w:p w:rsidR="00A46E14" w:rsidRDefault="002377B2" w:rsidP="00BD2D57">
      <w:pPr>
        <w:spacing w:after="0" w:line="240" w:lineRule="auto"/>
        <w:jc w:val="both"/>
        <w:rPr>
          <w:rFonts w:ascii="Arial" w:eastAsia="Arial" w:hAnsi="Arial" w:cs="Arial"/>
          <w:color w:val="252525"/>
          <w:sz w:val="56"/>
        </w:rPr>
      </w:pPr>
      <w:r>
        <w:rPr>
          <w:rFonts w:ascii="Arial" w:eastAsia="Arial" w:hAnsi="Arial" w:cs="Arial"/>
          <w:color w:val="252525"/>
          <w:sz w:val="56"/>
        </w:rPr>
        <w:t>Second a 70-year-old female with bilateral leg pain and</w:t>
      </w:r>
      <w:r w:rsidR="00AB38D3">
        <w:rPr>
          <w:rFonts w:ascii="Arial" w:eastAsia="Arial" w:hAnsi="Arial" w:cs="Arial"/>
          <w:color w:val="252525"/>
          <w:sz w:val="56"/>
          <w:lang/>
        </w:rPr>
        <w:t xml:space="preserve"> s</w:t>
      </w:r>
      <w:r>
        <w:rPr>
          <w:rFonts w:ascii="Arial" w:eastAsia="Arial" w:hAnsi="Arial" w:cs="Arial"/>
          <w:color w:val="252525"/>
          <w:sz w:val="56"/>
        </w:rPr>
        <w:t>welling following insignificant trauma since three days. Radiographs revealed a distal one-third shaft tibia and fibula fracture bilaterally managed</w:t>
      </w:r>
      <w:r>
        <w:rPr>
          <w:rFonts w:ascii="Arial" w:eastAsia="Arial" w:hAnsi="Arial" w:cs="Arial"/>
          <w:color w:val="252525"/>
          <w:sz w:val="56"/>
        </w:rPr>
        <w:t xml:space="preserve"> with closed </w:t>
      </w:r>
      <w:r>
        <w:rPr>
          <w:rFonts w:ascii="Arial" w:eastAsia="Arial" w:hAnsi="Arial" w:cs="Arial"/>
          <w:color w:val="252525"/>
          <w:sz w:val="56"/>
        </w:rPr>
        <w:lastRenderedPageBreak/>
        <w:t xml:space="preserve">nailing bilaterally and subsequently mobilized. </w:t>
      </w:r>
    </w:p>
    <w:p w:rsidR="00AB38D3" w:rsidRDefault="002377B2" w:rsidP="00BD2D57">
      <w:pPr>
        <w:spacing w:after="0" w:line="240" w:lineRule="auto"/>
        <w:jc w:val="both"/>
        <w:rPr>
          <w:rFonts w:ascii="Arial" w:eastAsia="Arial" w:hAnsi="Arial" w:cs="Arial"/>
          <w:color w:val="252525"/>
          <w:sz w:val="56"/>
        </w:rPr>
      </w:pPr>
      <w:r>
        <w:rPr>
          <w:rFonts w:ascii="Arial" w:eastAsia="Arial" w:hAnsi="Arial" w:cs="Arial"/>
          <w:color w:val="252525"/>
          <w:sz w:val="56"/>
        </w:rPr>
        <w:t>Both patients had Human-immunodeficiency Virus infection since ten and fourteen years respectively and were on combination anti-retroviral therapy. Both the patients had metabolic abnormalities w</w:t>
      </w:r>
      <w:r>
        <w:rPr>
          <w:rFonts w:ascii="Arial" w:eastAsia="Arial" w:hAnsi="Arial" w:cs="Arial"/>
          <w:color w:val="252525"/>
          <w:sz w:val="56"/>
        </w:rPr>
        <w:t xml:space="preserve">hich were overlooked. </w:t>
      </w:r>
    </w:p>
    <w:p w:rsidR="00AB38D3" w:rsidRDefault="00AB38D3" w:rsidP="00BD2D57">
      <w:pPr>
        <w:spacing w:after="0" w:line="240" w:lineRule="auto"/>
        <w:jc w:val="both"/>
        <w:rPr>
          <w:rFonts w:ascii="Arial" w:eastAsia="Arial" w:hAnsi="Arial" w:cs="Arial"/>
          <w:color w:val="252525"/>
          <w:sz w:val="56"/>
        </w:rPr>
      </w:pPr>
    </w:p>
    <w:p w:rsidR="00203604" w:rsidRDefault="002377B2" w:rsidP="00BD2D57">
      <w:pPr>
        <w:spacing w:after="0" w:line="240" w:lineRule="auto"/>
        <w:jc w:val="both"/>
      </w:pPr>
      <w:r w:rsidRPr="00AB38D3">
        <w:rPr>
          <w:rFonts w:ascii="Arial" w:eastAsia="Arial" w:hAnsi="Arial" w:cs="Arial"/>
          <w:color w:val="252525"/>
          <w:sz w:val="56"/>
          <w:u w:val="single"/>
        </w:rPr>
        <w:t>Conclusion</w:t>
      </w:r>
      <w:r>
        <w:rPr>
          <w:rFonts w:ascii="Arial" w:eastAsia="Arial" w:hAnsi="Arial" w:cs="Arial"/>
          <w:color w:val="252525"/>
          <w:sz w:val="56"/>
        </w:rPr>
        <w:t>: There should be a high index of suspicion to the possibility of fragility fractures in human-immunodeficiency virus affected patients on Anti-retroviral-therapy. Principles of fracture fixation and early mobilization shoul</w:t>
      </w:r>
      <w:r>
        <w:rPr>
          <w:rFonts w:ascii="Arial" w:eastAsia="Arial" w:hAnsi="Arial" w:cs="Arial"/>
          <w:color w:val="252525"/>
          <w:sz w:val="56"/>
        </w:rPr>
        <w:t>d be followed. Thorough metabolic workup and subsequent correction of metabolic profile is must along with fracture fixation to ensure best results. A collaborative</w:t>
      </w:r>
      <w:r w:rsidR="00EB5746">
        <w:rPr>
          <w:rFonts w:ascii="Arial" w:eastAsia="Arial" w:hAnsi="Arial" w:cs="Arial"/>
          <w:color w:val="252525"/>
          <w:sz w:val="56"/>
          <w:lang/>
        </w:rPr>
        <w:t xml:space="preserve"> </w:t>
      </w:r>
      <w:r>
        <w:rPr>
          <w:rFonts w:ascii="Arial" w:eastAsia="Arial" w:hAnsi="Arial" w:cs="Arial"/>
          <w:color w:val="252525"/>
          <w:sz w:val="56"/>
        </w:rPr>
        <w:t>approach between orthopaedic surgeons and other specialities helps to bring about optimal</w:t>
      </w:r>
      <w:r>
        <w:rPr>
          <w:rFonts w:ascii="Arial" w:eastAsia="Arial" w:hAnsi="Arial" w:cs="Arial"/>
          <w:color w:val="252525"/>
          <w:sz w:val="56"/>
        </w:rPr>
        <w:t xml:space="preserve"> results in such patients.</w:t>
      </w:r>
    </w:p>
    <w:p w:rsidR="00203604" w:rsidRDefault="00203604" w:rsidP="00BD2D57">
      <w:pPr>
        <w:spacing w:after="0" w:line="204" w:lineRule="auto"/>
        <w:jc w:val="both"/>
        <w:rPr>
          <w:rFonts w:ascii="Arial" w:hAnsi="Arial" w:cs="Arial"/>
          <w:sz w:val="56"/>
        </w:rPr>
      </w:pPr>
    </w:p>
    <w:p w:rsidR="00203604" w:rsidRDefault="00203604" w:rsidP="00BD2D57">
      <w:pPr>
        <w:spacing w:after="0" w:line="204" w:lineRule="auto"/>
        <w:jc w:val="both"/>
        <w:rPr>
          <w:rFonts w:ascii="Arial" w:hAnsi="Arial" w:cs="Arial"/>
          <w:sz w:val="56"/>
        </w:rPr>
      </w:pPr>
    </w:p>
    <w:p w:rsidR="00EB5746" w:rsidRDefault="00EB5746" w:rsidP="00BD2D57">
      <w:pPr>
        <w:spacing w:after="0" w:line="240" w:lineRule="auto"/>
        <w:jc w:val="both"/>
        <w:rPr>
          <w:rFonts w:ascii="Arial" w:eastAsia="Arial" w:hAnsi="Arial" w:cs="Arial"/>
          <w:color w:val="252525"/>
          <w:sz w:val="56"/>
        </w:rPr>
      </w:pPr>
    </w:p>
    <w:p w:rsidR="00EB5746" w:rsidRDefault="00EB5746" w:rsidP="00BD2D57">
      <w:pPr>
        <w:spacing w:after="0" w:line="240" w:lineRule="auto"/>
        <w:jc w:val="both"/>
        <w:rPr>
          <w:rFonts w:ascii="Arial" w:eastAsia="Arial" w:hAnsi="Arial" w:cs="Arial"/>
          <w:color w:val="252525"/>
          <w:sz w:val="56"/>
        </w:rPr>
      </w:pPr>
    </w:p>
    <w:p w:rsidR="00EB5746" w:rsidRDefault="00EB5746" w:rsidP="00BD2D57">
      <w:pPr>
        <w:spacing w:after="0" w:line="240" w:lineRule="auto"/>
        <w:jc w:val="both"/>
        <w:rPr>
          <w:rFonts w:ascii="Arial" w:eastAsia="Arial" w:hAnsi="Arial" w:cs="Arial"/>
          <w:color w:val="252525"/>
          <w:sz w:val="56"/>
        </w:rPr>
      </w:pPr>
    </w:p>
    <w:p w:rsidR="00EB5746" w:rsidRDefault="00EB5746" w:rsidP="00BD2D57">
      <w:pPr>
        <w:spacing w:after="0" w:line="240" w:lineRule="auto"/>
        <w:jc w:val="both"/>
        <w:rPr>
          <w:rFonts w:ascii="Arial" w:eastAsia="Arial" w:hAnsi="Arial" w:cs="Arial"/>
          <w:color w:val="252525"/>
          <w:sz w:val="56"/>
        </w:rPr>
      </w:pPr>
    </w:p>
    <w:p w:rsidR="00EB5746" w:rsidRDefault="00EB5746" w:rsidP="00BD2D57">
      <w:pPr>
        <w:spacing w:after="0" w:line="240" w:lineRule="auto"/>
        <w:jc w:val="both"/>
        <w:rPr>
          <w:rFonts w:ascii="Arial" w:eastAsia="Arial" w:hAnsi="Arial" w:cs="Arial"/>
          <w:color w:val="252525"/>
          <w:sz w:val="56"/>
        </w:rPr>
      </w:pPr>
    </w:p>
    <w:p w:rsidR="00203604" w:rsidRDefault="002377B2" w:rsidP="00BD2D57">
      <w:pPr>
        <w:spacing w:after="0" w:line="240" w:lineRule="auto"/>
        <w:jc w:val="both"/>
      </w:pPr>
      <w:r>
        <w:rPr>
          <w:rFonts w:ascii="Arial" w:eastAsia="Arial" w:hAnsi="Arial" w:cs="Arial"/>
          <w:color w:val="252525"/>
          <w:sz w:val="56"/>
        </w:rPr>
        <w:t>Recent Publications:</w:t>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r>
        <w:rPr>
          <w:rFonts w:ascii="Arial" w:eastAsia="Arial" w:hAnsi="Arial" w:cs="Arial"/>
          <w:color w:val="252525"/>
          <w:sz w:val="56"/>
        </w:rPr>
        <w:t xml:space="preserve">1. </w:t>
      </w:r>
      <w:proofErr w:type="spellStart"/>
      <w:r>
        <w:rPr>
          <w:rFonts w:ascii="Arial" w:eastAsia="Arial" w:hAnsi="Arial" w:cs="Arial"/>
          <w:color w:val="252525"/>
          <w:sz w:val="56"/>
        </w:rPr>
        <w:t>Rebolledo</w:t>
      </w:r>
      <w:proofErr w:type="spellEnd"/>
      <w:r>
        <w:rPr>
          <w:rFonts w:ascii="Arial" w:eastAsia="Arial" w:hAnsi="Arial" w:cs="Arial"/>
          <w:color w:val="252525"/>
          <w:sz w:val="56"/>
        </w:rPr>
        <w:t xml:space="preserve"> BJ, </w:t>
      </w:r>
      <w:proofErr w:type="spellStart"/>
      <w:r>
        <w:rPr>
          <w:rFonts w:ascii="Arial" w:eastAsia="Arial" w:hAnsi="Arial" w:cs="Arial"/>
          <w:color w:val="252525"/>
          <w:sz w:val="56"/>
        </w:rPr>
        <w:t>Unnanuntana</w:t>
      </w:r>
      <w:proofErr w:type="spellEnd"/>
      <w:r>
        <w:rPr>
          <w:rFonts w:ascii="Arial" w:eastAsia="Arial" w:hAnsi="Arial" w:cs="Arial"/>
          <w:color w:val="252525"/>
          <w:sz w:val="56"/>
        </w:rPr>
        <w:t xml:space="preserve"> A, Lane JM. Bilateral pathologic hip fractures associated with antiretroviral therapy: a case report. J Bone Joint </w:t>
      </w:r>
      <w:proofErr w:type="spellStart"/>
      <w:r>
        <w:rPr>
          <w:rFonts w:ascii="Arial" w:eastAsia="Arial" w:hAnsi="Arial" w:cs="Arial"/>
          <w:color w:val="252525"/>
          <w:sz w:val="56"/>
        </w:rPr>
        <w:t>Surg</w:t>
      </w:r>
      <w:proofErr w:type="spellEnd"/>
      <w:r>
        <w:rPr>
          <w:rFonts w:ascii="Arial" w:eastAsia="Arial" w:hAnsi="Arial" w:cs="Arial"/>
          <w:color w:val="252525"/>
          <w:sz w:val="56"/>
        </w:rPr>
        <w:t xml:space="preserve"> Am. 2011;93(14):e78.</w:t>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r>
        <w:rPr>
          <w:rFonts w:ascii="Arial" w:eastAsia="Arial" w:hAnsi="Arial" w:cs="Arial"/>
          <w:color w:val="252525"/>
          <w:sz w:val="56"/>
        </w:rPr>
        <w:t xml:space="preserve">2. Yin MT, McMahon DJ, </w:t>
      </w:r>
      <w:r>
        <w:rPr>
          <w:rFonts w:ascii="Arial" w:eastAsia="Arial" w:hAnsi="Arial" w:cs="Arial"/>
          <w:color w:val="252525"/>
          <w:sz w:val="56"/>
        </w:rPr>
        <w:t xml:space="preserve">Ferris DC, et al. Low bone mass and high bone turnover in postmenopausal human immunodeficiency virus-infected women. J </w:t>
      </w:r>
      <w:proofErr w:type="spellStart"/>
      <w:r>
        <w:rPr>
          <w:rFonts w:ascii="Arial" w:eastAsia="Arial" w:hAnsi="Arial" w:cs="Arial"/>
          <w:color w:val="252525"/>
          <w:sz w:val="56"/>
        </w:rPr>
        <w:t>Clin</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Endocrinol</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Metab</w:t>
      </w:r>
      <w:proofErr w:type="spellEnd"/>
      <w:r>
        <w:rPr>
          <w:rFonts w:ascii="Arial" w:eastAsia="Arial" w:hAnsi="Arial" w:cs="Arial"/>
          <w:color w:val="252525"/>
          <w:sz w:val="56"/>
        </w:rPr>
        <w:t>. 2010;95(2):620-629.</w:t>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r>
        <w:rPr>
          <w:rFonts w:ascii="Arial" w:eastAsia="Arial" w:hAnsi="Arial" w:cs="Arial"/>
          <w:color w:val="252525"/>
          <w:sz w:val="56"/>
        </w:rPr>
        <w:t xml:space="preserve">3. </w:t>
      </w:r>
      <w:proofErr w:type="spellStart"/>
      <w:r>
        <w:rPr>
          <w:rFonts w:ascii="Arial" w:eastAsia="Arial" w:hAnsi="Arial" w:cs="Arial"/>
          <w:color w:val="252525"/>
          <w:sz w:val="56"/>
        </w:rPr>
        <w:t>Grund</w:t>
      </w:r>
      <w:proofErr w:type="spellEnd"/>
      <w:r>
        <w:rPr>
          <w:rFonts w:ascii="Arial" w:eastAsia="Arial" w:hAnsi="Arial" w:cs="Arial"/>
          <w:color w:val="252525"/>
          <w:sz w:val="56"/>
        </w:rPr>
        <w:t xml:space="preserve"> B, Peng G, </w:t>
      </w:r>
      <w:proofErr w:type="spellStart"/>
      <w:r>
        <w:rPr>
          <w:rFonts w:ascii="Arial" w:eastAsia="Arial" w:hAnsi="Arial" w:cs="Arial"/>
          <w:color w:val="252525"/>
          <w:sz w:val="56"/>
        </w:rPr>
        <w:t>Gibert</w:t>
      </w:r>
      <w:proofErr w:type="spellEnd"/>
      <w:r>
        <w:rPr>
          <w:rFonts w:ascii="Arial" w:eastAsia="Arial" w:hAnsi="Arial" w:cs="Arial"/>
          <w:color w:val="252525"/>
          <w:sz w:val="56"/>
        </w:rPr>
        <w:t xml:space="preserve"> CL, et al. </w:t>
      </w:r>
    </w:p>
    <w:p w:rsidR="00203604" w:rsidRDefault="002377B2" w:rsidP="00BD2D57">
      <w:pPr>
        <w:spacing w:after="0" w:line="240" w:lineRule="auto"/>
        <w:jc w:val="both"/>
      </w:pPr>
      <w:r>
        <w:rPr>
          <w:rFonts w:ascii="Arial" w:eastAsia="Arial" w:hAnsi="Arial" w:cs="Arial"/>
          <w:color w:val="252525"/>
          <w:sz w:val="56"/>
        </w:rPr>
        <w:t>Continuous antiretroviral therapy decreases bone min</w:t>
      </w:r>
      <w:r>
        <w:rPr>
          <w:rFonts w:ascii="Arial" w:eastAsia="Arial" w:hAnsi="Arial" w:cs="Arial"/>
          <w:color w:val="252525"/>
          <w:sz w:val="56"/>
        </w:rPr>
        <w:t>eral density. AIDS. 2009;23(12):1519-1529.</w:t>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r>
        <w:rPr>
          <w:rFonts w:ascii="Arial" w:eastAsia="Arial" w:hAnsi="Arial" w:cs="Arial"/>
          <w:color w:val="252525"/>
          <w:sz w:val="56"/>
        </w:rPr>
        <w:t xml:space="preserve">4. Prior J, </w:t>
      </w:r>
      <w:proofErr w:type="spellStart"/>
      <w:r>
        <w:rPr>
          <w:rFonts w:ascii="Arial" w:eastAsia="Arial" w:hAnsi="Arial" w:cs="Arial"/>
          <w:color w:val="252525"/>
          <w:sz w:val="56"/>
        </w:rPr>
        <w:t>Burdge</w:t>
      </w:r>
      <w:proofErr w:type="spellEnd"/>
      <w:r>
        <w:rPr>
          <w:rFonts w:ascii="Arial" w:eastAsia="Arial" w:hAnsi="Arial" w:cs="Arial"/>
          <w:color w:val="252525"/>
          <w:sz w:val="56"/>
        </w:rPr>
        <w:t xml:space="preserve"> D, </w:t>
      </w:r>
      <w:proofErr w:type="spellStart"/>
      <w:r>
        <w:rPr>
          <w:rFonts w:ascii="Arial" w:eastAsia="Arial" w:hAnsi="Arial" w:cs="Arial"/>
          <w:color w:val="252525"/>
          <w:sz w:val="56"/>
        </w:rPr>
        <w:t>Maan</w:t>
      </w:r>
      <w:proofErr w:type="spellEnd"/>
      <w:r>
        <w:rPr>
          <w:rFonts w:ascii="Arial" w:eastAsia="Arial" w:hAnsi="Arial" w:cs="Arial"/>
          <w:color w:val="252525"/>
          <w:sz w:val="56"/>
        </w:rPr>
        <w:t xml:space="preserve"> E, et al. Fragility fractures and bone mineral density in HIV positive women: a case-control population-based study. </w:t>
      </w:r>
      <w:proofErr w:type="spellStart"/>
      <w:r>
        <w:rPr>
          <w:rFonts w:ascii="Arial" w:eastAsia="Arial" w:hAnsi="Arial" w:cs="Arial"/>
          <w:color w:val="252525"/>
          <w:sz w:val="56"/>
        </w:rPr>
        <w:t>Osteoporos</w:t>
      </w:r>
      <w:proofErr w:type="spellEnd"/>
      <w:r>
        <w:rPr>
          <w:rFonts w:ascii="Arial" w:eastAsia="Arial" w:hAnsi="Arial" w:cs="Arial"/>
          <w:color w:val="252525"/>
          <w:sz w:val="56"/>
        </w:rPr>
        <w:t xml:space="preserve"> Int. 2007;18(10):1345-1353.</w:t>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r>
        <w:rPr>
          <w:rFonts w:ascii="Arial" w:eastAsia="Arial" w:hAnsi="Arial" w:cs="Arial"/>
          <w:color w:val="252525"/>
          <w:sz w:val="56"/>
        </w:rPr>
        <w:lastRenderedPageBreak/>
        <w:t xml:space="preserve">5. Brown TT, </w:t>
      </w:r>
      <w:proofErr w:type="spellStart"/>
      <w:r>
        <w:rPr>
          <w:rFonts w:ascii="Arial" w:eastAsia="Arial" w:hAnsi="Arial" w:cs="Arial"/>
          <w:color w:val="252525"/>
          <w:sz w:val="56"/>
        </w:rPr>
        <w:t>Qaqish</w:t>
      </w:r>
      <w:proofErr w:type="spellEnd"/>
      <w:r>
        <w:rPr>
          <w:rFonts w:ascii="Arial" w:eastAsia="Arial" w:hAnsi="Arial" w:cs="Arial"/>
          <w:color w:val="252525"/>
          <w:sz w:val="56"/>
        </w:rPr>
        <w:t xml:space="preserve"> RB. Anti</w:t>
      </w:r>
      <w:r>
        <w:rPr>
          <w:rFonts w:ascii="Arial" w:eastAsia="Arial" w:hAnsi="Arial" w:cs="Arial"/>
          <w:color w:val="252525"/>
          <w:sz w:val="56"/>
        </w:rPr>
        <w:t>retroviral therapy and the prevalence of osteopenia and osteoporosis: a meta-analytic review. AIDS. 2006;20(17):2165-2174.</w:t>
      </w:r>
    </w:p>
    <w:p w:rsidR="00203604" w:rsidRDefault="00203604" w:rsidP="00BD2D57">
      <w:pPr>
        <w:pageBreakBefore/>
        <w:spacing w:after="0" w:line="240" w:lineRule="auto"/>
        <w:jc w:val="both"/>
      </w:pPr>
    </w:p>
    <w:p w:rsidR="00203604" w:rsidRDefault="00203604" w:rsidP="00BD2D57">
      <w:pPr>
        <w:spacing w:after="0" w:line="240" w:lineRule="auto"/>
        <w:jc w:val="both"/>
      </w:pPr>
    </w:p>
    <w:p w:rsidR="00203604" w:rsidRDefault="002377B2" w:rsidP="00BD2D57">
      <w:pPr>
        <w:spacing w:after="0" w:line="240" w:lineRule="auto"/>
        <w:jc w:val="both"/>
      </w:pPr>
      <w:r>
        <w:rPr>
          <w:noProof/>
        </w:rPr>
        <w:drawing>
          <wp:inline distT="0" distB="0" distL="0" distR="0">
            <wp:extent cx="3301589" cy="4410551"/>
            <wp:effectExtent l="0" t="0" r="0" b="0"/>
            <wp:docPr id="1" name="Drawing 0" descr="image1655985032050.png"/>
            <wp:cNvGraphicFramePr/>
            <a:graphic xmlns:a="http://schemas.openxmlformats.org/drawingml/2006/main">
              <a:graphicData uri="http://schemas.openxmlformats.org/drawingml/2006/picture">
                <pic:pic xmlns:pic="http://schemas.openxmlformats.org/drawingml/2006/picture">
                  <pic:nvPicPr>
                    <pic:cNvPr id="2" name="Picture 2" descr="image1655985032050.png"/>
                    <pic:cNvPicPr>
                      <a:picLocks noChangeAspect="1"/>
                    </pic:cNvPicPr>
                  </pic:nvPicPr>
                  <pic:blipFill>
                    <a:blip r:embed="rId4"/>
                    <a:stretch>
                      <a:fillRect/>
                    </a:stretch>
                  </pic:blipFill>
                  <pic:spPr>
                    <a:xfrm>
                      <a:off x="0" y="0"/>
                      <a:ext cx="7336864" cy="9801225"/>
                    </a:xfrm>
                    <a:prstGeom prst="rect">
                      <a:avLst/>
                    </a:prstGeom>
                  </pic:spPr>
                </pic:pic>
              </a:graphicData>
            </a:graphic>
          </wp:inline>
        </w:drawing>
      </w:r>
    </w:p>
    <w:p w:rsidR="00203604" w:rsidRDefault="00203604" w:rsidP="00BD2D57">
      <w:pPr>
        <w:spacing w:after="0" w:line="204" w:lineRule="auto"/>
        <w:jc w:val="both"/>
        <w:rPr>
          <w:rFonts w:ascii="Arial" w:hAnsi="Arial" w:cs="Arial"/>
          <w:sz w:val="56"/>
        </w:rPr>
      </w:pPr>
    </w:p>
    <w:p w:rsidR="00203604" w:rsidRDefault="002377B2" w:rsidP="00BD2D57">
      <w:pPr>
        <w:spacing w:after="0" w:line="240" w:lineRule="auto"/>
        <w:jc w:val="both"/>
      </w:pPr>
      <w:proofErr w:type="spellStart"/>
      <w:r>
        <w:rPr>
          <w:rFonts w:ascii="Arial" w:eastAsia="Arial" w:hAnsi="Arial" w:cs="Arial"/>
          <w:color w:val="252525"/>
          <w:sz w:val="56"/>
        </w:rPr>
        <w:t>Dr.</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Shubham</w:t>
      </w:r>
      <w:proofErr w:type="spellEnd"/>
      <w:r>
        <w:rPr>
          <w:rFonts w:ascii="Arial" w:eastAsia="Arial" w:hAnsi="Arial" w:cs="Arial"/>
          <w:color w:val="252525"/>
          <w:sz w:val="56"/>
        </w:rPr>
        <w:t xml:space="preserve"> </w:t>
      </w:r>
      <w:proofErr w:type="spellStart"/>
      <w:r>
        <w:rPr>
          <w:rFonts w:ascii="Arial" w:eastAsia="Arial" w:hAnsi="Arial" w:cs="Arial"/>
          <w:color w:val="252525"/>
          <w:sz w:val="56"/>
        </w:rPr>
        <w:t>Dakhode</w:t>
      </w:r>
      <w:proofErr w:type="spellEnd"/>
      <w:r>
        <w:rPr>
          <w:rFonts w:ascii="Arial" w:eastAsia="Arial" w:hAnsi="Arial" w:cs="Arial"/>
          <w:color w:val="252525"/>
          <w:sz w:val="56"/>
        </w:rPr>
        <w:t xml:space="preserve"> is a Orthopaedic Surgeon based in Mumbai, Maharashtra. He has completed his training from the reputed Seth G</w:t>
      </w:r>
      <w:r>
        <w:rPr>
          <w:rFonts w:ascii="Arial" w:eastAsia="Arial" w:hAnsi="Arial" w:cs="Arial"/>
          <w:color w:val="252525"/>
          <w:sz w:val="56"/>
        </w:rPr>
        <w:t xml:space="preserve">S Medical College &amp; K.E.M Hospital, Mumbai which is one of the largest Orthopaedic department in Asia. He is specially trained in Knee, Hip replacement. He is also trained in Complex trauma, Sport medicine, Hand and Foot deformity correction, </w:t>
      </w:r>
      <w:proofErr w:type="spellStart"/>
      <w:r>
        <w:rPr>
          <w:rFonts w:ascii="Arial" w:eastAsia="Arial" w:hAnsi="Arial" w:cs="Arial"/>
          <w:color w:val="252525"/>
          <w:sz w:val="56"/>
        </w:rPr>
        <w:t>Pediatric</w:t>
      </w:r>
      <w:proofErr w:type="spellEnd"/>
      <w:r>
        <w:rPr>
          <w:rFonts w:ascii="Arial" w:eastAsia="Arial" w:hAnsi="Arial" w:cs="Arial"/>
          <w:color w:val="252525"/>
          <w:sz w:val="56"/>
        </w:rPr>
        <w:t xml:space="preserve"> </w:t>
      </w:r>
      <w:r w:rsidR="00EB5746">
        <w:rPr>
          <w:rFonts w:ascii="Arial" w:eastAsia="Arial" w:hAnsi="Arial" w:cs="Arial"/>
          <w:color w:val="252525"/>
          <w:sz w:val="56"/>
        </w:rPr>
        <w:t>orthopaedics</w:t>
      </w:r>
      <w:r>
        <w:rPr>
          <w:rFonts w:ascii="Arial" w:eastAsia="Arial" w:hAnsi="Arial" w:cs="Arial"/>
          <w:color w:val="252525"/>
          <w:sz w:val="56"/>
        </w:rPr>
        <w:t xml:space="preserve">, </w:t>
      </w:r>
      <w:proofErr w:type="spellStart"/>
      <w:r>
        <w:rPr>
          <w:rFonts w:ascii="Arial" w:eastAsia="Arial" w:hAnsi="Arial" w:cs="Arial"/>
          <w:color w:val="252525"/>
          <w:sz w:val="56"/>
        </w:rPr>
        <w:t>Ilizarov</w:t>
      </w:r>
      <w:proofErr w:type="spellEnd"/>
      <w:r>
        <w:rPr>
          <w:rFonts w:ascii="Arial" w:eastAsia="Arial" w:hAnsi="Arial" w:cs="Arial"/>
          <w:color w:val="252525"/>
          <w:sz w:val="56"/>
        </w:rPr>
        <w:t xml:space="preserve"> and limb lengthening. He has a keen interest in academics, teaching and clinical research.</w:t>
      </w:r>
    </w:p>
    <w:p w:rsidR="00203604" w:rsidRDefault="00203604" w:rsidP="00BD2D57">
      <w:pPr>
        <w:spacing w:after="0" w:line="240" w:lineRule="auto"/>
        <w:jc w:val="both"/>
      </w:pPr>
    </w:p>
    <w:sectPr w:rsidR="00203604">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604"/>
    <w:rsid w:val="00203604"/>
    <w:rsid w:val="002377B2"/>
    <w:rsid w:val="009D56A4"/>
    <w:rsid w:val="00A46E14"/>
    <w:rsid w:val="00AB38D3"/>
    <w:rsid w:val="00AC5380"/>
    <w:rsid w:val="00BD2D57"/>
    <w:rsid w:val="00EB5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B3A497"/>
  <w15:docId w15:val="{B08F1D70-13A5-474D-9FE8-4DDF70AF0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Shubham Dakhode</cp:lastModifiedBy>
  <cp:revision>8</cp:revision>
  <dcterms:created xsi:type="dcterms:W3CDTF">2022-06-23T11:51:00Z</dcterms:created>
  <dcterms:modified xsi:type="dcterms:W3CDTF">2022-06-23T11:56:00Z</dcterms:modified>
</cp:coreProperties>
</file>