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C69FD2" w14:textId="46B951A1" w:rsidR="00AE3E37" w:rsidRDefault="00317006" w:rsidP="00494130">
      <w:pPr>
        <w:pStyle w:val="Heading1"/>
        <w:spacing w:before="170"/>
        <w:ind w:left="0"/>
      </w:pPr>
      <w:r>
        <w:rPr>
          <w:color w:val="337AB7"/>
        </w:rPr>
        <w:t>The new configuration of cannulated hip screws for the fixation of femoral neck fractures: A biomechanical study</w:t>
      </w:r>
    </w:p>
    <w:p w14:paraId="19EE2F5B" w14:textId="696DEA33" w:rsidR="0078738A" w:rsidRDefault="00317006" w:rsidP="005973B9">
      <w:pPr>
        <w:pStyle w:val="BodyText"/>
        <w:spacing w:before="73" w:line="198" w:lineRule="exact"/>
        <w:ind w:left="100" w:right="5987"/>
        <w:rPr>
          <w:rFonts w:ascii="Arial"/>
        </w:rPr>
      </w:pPr>
      <w:r>
        <w:rPr>
          <w:rFonts w:ascii="Arial"/>
        </w:rPr>
        <w:t>Napat Na ta kuatoong, MD</w:t>
      </w:r>
    </w:p>
    <w:p w14:paraId="619B7778" w14:textId="3697FA18" w:rsidR="005973B9" w:rsidRDefault="00317006" w:rsidP="005973B9">
      <w:pPr>
        <w:pStyle w:val="BodyText"/>
        <w:spacing w:before="73" w:line="198" w:lineRule="exact"/>
        <w:ind w:left="100" w:right="5987"/>
        <w:rPr>
          <w:rFonts w:ascii="Arial"/>
        </w:rPr>
      </w:pPr>
      <w:r>
        <w:rPr>
          <w:rFonts w:ascii="Arial"/>
        </w:rPr>
        <w:t>Chanon Chaiwiset, MD</w:t>
      </w:r>
      <w:r w:rsidRPr="00317006">
        <w:rPr>
          <w:noProof/>
        </w:rPr>
        <w:t xml:space="preserve"> </w:t>
      </w:r>
    </w:p>
    <w:p w14:paraId="524B9C46" w14:textId="04DDD36E" w:rsidR="00317006" w:rsidRDefault="00317006" w:rsidP="005973B9">
      <w:pPr>
        <w:pStyle w:val="BodyText"/>
        <w:spacing w:before="73" w:line="198" w:lineRule="exact"/>
        <w:ind w:left="100" w:right="5987"/>
        <w:rPr>
          <w:rFonts w:ascii="Arial"/>
        </w:rPr>
      </w:pPr>
      <w:r>
        <w:rPr>
          <w:rFonts w:ascii="Arial"/>
        </w:rPr>
        <w:t>Parinya Chamnan, MD, PhD</w:t>
      </w:r>
    </w:p>
    <w:p w14:paraId="24432664" w14:textId="77777777" w:rsidR="00AE3E37" w:rsidRDefault="00AE3E37">
      <w:pPr>
        <w:pStyle w:val="BodyText"/>
        <w:rPr>
          <w:rFonts w:ascii="Arial"/>
          <w:sz w:val="20"/>
        </w:rPr>
      </w:pPr>
    </w:p>
    <w:p w14:paraId="3F247E1B" w14:textId="056EFC40" w:rsidR="00AE3E37" w:rsidRDefault="00AE3E37">
      <w:pPr>
        <w:pStyle w:val="BodyText"/>
        <w:spacing w:before="3"/>
        <w:rPr>
          <w:rFonts w:ascii="Arial"/>
          <w:sz w:val="21"/>
        </w:rPr>
      </w:pPr>
    </w:p>
    <w:p w14:paraId="760698F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628112D" w14:textId="5727E60A" w:rsidR="00AE3E37" w:rsidRDefault="00A9710C">
      <w:pPr>
        <w:pStyle w:val="Heading3"/>
        <w:spacing w:before="147"/>
        <w:jc w:val="both"/>
      </w:pPr>
      <w:r>
        <w:rPr>
          <w:color w:val="BF5A14"/>
        </w:rPr>
        <w:t>Abstract</w:t>
      </w:r>
      <w:r w:rsidR="00404E5B">
        <w:rPr>
          <w:color w:val="BF5A14"/>
        </w:rPr>
        <w:t xml:space="preserve"> (300 word limit)</w:t>
      </w:r>
    </w:p>
    <w:p w14:paraId="373FCB2B" w14:textId="3F2FDF0C" w:rsidR="00317006" w:rsidRPr="00317006" w:rsidRDefault="00317006" w:rsidP="00317006">
      <w:pPr>
        <w:pStyle w:val="Title"/>
        <w:jc w:val="left"/>
        <w:rPr>
          <w:rFonts w:ascii="Tw Cen MT" w:hAnsi="Tw Cen MT" w:cs="CordiaUPC"/>
          <w:b/>
          <w:bCs/>
          <w:sz w:val="18"/>
          <w:szCs w:val="18"/>
        </w:rPr>
      </w:pPr>
      <w:r w:rsidRPr="00317006">
        <w:rPr>
          <w:rFonts w:ascii="Tw Cen MT" w:hAnsi="Tw Cen MT" w:cs="CordiaUPC"/>
          <w:b/>
          <w:bCs/>
          <w:sz w:val="18"/>
          <w:szCs w:val="18"/>
        </w:rPr>
        <w:t>Background</w:t>
      </w:r>
    </w:p>
    <w:p w14:paraId="25620E35" w14:textId="2D88EC57" w:rsidR="00317006" w:rsidRPr="00317006" w:rsidRDefault="00317006" w:rsidP="00317006">
      <w:pPr>
        <w:pStyle w:val="Title"/>
        <w:jc w:val="left"/>
        <w:rPr>
          <w:rFonts w:ascii="Tw Cen MT" w:hAnsi="Tw Cen MT" w:cs="CordiaUPC"/>
          <w:b/>
          <w:bCs/>
          <w:sz w:val="18"/>
          <w:szCs w:val="18"/>
        </w:rPr>
      </w:pPr>
      <w:r w:rsidRPr="00317006">
        <w:rPr>
          <w:rFonts w:ascii="Tw Cen MT" w:hAnsi="Tw Cen MT" w:cs="CordiaUPC"/>
          <w:b/>
          <w:bCs/>
          <w:sz w:val="18"/>
          <w:szCs w:val="18"/>
        </w:rPr>
        <w:tab/>
      </w:r>
      <w:r w:rsidRPr="00317006">
        <w:rPr>
          <w:rFonts w:ascii="Tw Cen MT" w:hAnsi="Tw Cen MT" w:cs="CordiaUPC"/>
          <w:sz w:val="18"/>
          <w:szCs w:val="18"/>
        </w:rPr>
        <w:t>Femoral neck fracture is one of fracture that is frequently faced in our practice.</w:t>
      </w:r>
      <w:r w:rsidRPr="00317006">
        <w:rPr>
          <w:rFonts w:ascii="Tw Cen MT" w:hAnsi="Tw Cen MT" w:cs="CordiaUPC"/>
          <w:b/>
          <w:bCs/>
          <w:sz w:val="18"/>
          <w:szCs w:val="18"/>
        </w:rPr>
        <w:t xml:space="preserve"> </w:t>
      </w:r>
      <w:r w:rsidRPr="00317006">
        <w:rPr>
          <w:rFonts w:ascii="Tw Cen MT" w:hAnsi="Tw Cen MT" w:cs="CordiaUPC"/>
          <w:sz w:val="18"/>
          <w:szCs w:val="18"/>
        </w:rPr>
        <w:t>In Pauwels 3, compression force is less but varus and shearing force is more. This cause more instability as angle of fracture line increasing.</w:t>
      </w:r>
      <w:r w:rsidRPr="00317006">
        <w:rPr>
          <w:rFonts w:ascii="Tw Cen MT" w:hAnsi="Tw Cen MT" w:cs="CordiaUPC"/>
          <w:b/>
          <w:bCs/>
          <w:sz w:val="18"/>
          <w:szCs w:val="18"/>
        </w:rPr>
        <w:t xml:space="preserve"> </w:t>
      </w:r>
      <w:r w:rsidRPr="00317006">
        <w:rPr>
          <w:rFonts w:ascii="Tw Cen MT" w:hAnsi="Tw Cen MT" w:cs="CordiaUPC"/>
          <w:sz w:val="18"/>
          <w:szCs w:val="18"/>
        </w:rPr>
        <w:t>Although there is a number of studies about number, position, or direction of screws to make the strongest formation of implant to reduce the rate of fixation failure, but in the fact, there is no study that show the formation we accepted has enough strength to withstand the fixation failure especially in Pauwels 3 and osteoporosis bone.</w:t>
      </w:r>
    </w:p>
    <w:p w14:paraId="3DC7DC13" w14:textId="77777777" w:rsidR="00317006" w:rsidRPr="00317006" w:rsidRDefault="00317006" w:rsidP="00317006">
      <w:pPr>
        <w:pStyle w:val="Title"/>
        <w:jc w:val="left"/>
        <w:rPr>
          <w:rFonts w:ascii="Tw Cen MT" w:hAnsi="Tw Cen MT" w:cs="CordiaUPC"/>
          <w:b/>
          <w:bCs/>
          <w:sz w:val="18"/>
          <w:szCs w:val="18"/>
        </w:rPr>
      </w:pPr>
      <w:r w:rsidRPr="00317006">
        <w:rPr>
          <w:rFonts w:ascii="Tw Cen MT" w:hAnsi="Tw Cen MT" w:cs="CordiaUPC"/>
          <w:b/>
          <w:bCs/>
          <w:sz w:val="18"/>
          <w:szCs w:val="18"/>
        </w:rPr>
        <w:tab/>
      </w:r>
      <w:r w:rsidRPr="00317006">
        <w:rPr>
          <w:rFonts w:ascii="Tw Cen MT" w:hAnsi="Tw Cen MT" w:cs="CordiaUPC"/>
          <w:sz w:val="18"/>
          <w:szCs w:val="18"/>
        </w:rPr>
        <w:t>The objective of this study is to study about biomechanics of two configuration of screws that is normal inverted triangle (conventional screw fixation; CFIX), and new configuration that make biplane screw support and penetrated more calcar (Double calcar cannulated screw fixation; DCCS).</w:t>
      </w:r>
    </w:p>
    <w:p w14:paraId="3752900E" w14:textId="77777777" w:rsidR="00317006" w:rsidRPr="00317006" w:rsidRDefault="00317006" w:rsidP="00317006">
      <w:pPr>
        <w:pStyle w:val="Title"/>
        <w:jc w:val="left"/>
        <w:rPr>
          <w:rFonts w:ascii="Tw Cen MT" w:hAnsi="Tw Cen MT" w:cs="CordiaUPC"/>
          <w:b/>
          <w:bCs/>
          <w:sz w:val="18"/>
          <w:szCs w:val="18"/>
        </w:rPr>
      </w:pPr>
      <w:r w:rsidRPr="00317006">
        <w:rPr>
          <w:rFonts w:ascii="Tw Cen MT" w:hAnsi="Tw Cen MT" w:cs="CordiaUPC"/>
          <w:b/>
          <w:bCs/>
          <w:sz w:val="18"/>
          <w:szCs w:val="18"/>
        </w:rPr>
        <w:t>Methods</w:t>
      </w:r>
    </w:p>
    <w:p w14:paraId="756D4A0A" w14:textId="77777777" w:rsidR="00317006" w:rsidRPr="00317006" w:rsidRDefault="00317006" w:rsidP="00317006">
      <w:pPr>
        <w:pStyle w:val="Title"/>
        <w:jc w:val="left"/>
        <w:rPr>
          <w:rFonts w:ascii="Tw Cen MT" w:hAnsi="Tw Cen MT" w:cs="CordiaUPC"/>
          <w:sz w:val="18"/>
          <w:szCs w:val="18"/>
        </w:rPr>
      </w:pPr>
      <w:r w:rsidRPr="00317006">
        <w:rPr>
          <w:rFonts w:ascii="Tw Cen MT" w:hAnsi="Tw Cen MT" w:cs="CordiaUPC"/>
          <w:b/>
          <w:bCs/>
          <w:sz w:val="18"/>
          <w:szCs w:val="18"/>
        </w:rPr>
        <w:tab/>
      </w:r>
      <w:r w:rsidRPr="00317006">
        <w:rPr>
          <w:rFonts w:ascii="Tw Cen MT" w:hAnsi="Tw Cen MT" w:cs="CordiaUPC"/>
          <w:sz w:val="18"/>
          <w:szCs w:val="18"/>
        </w:rPr>
        <w:t>An</w:t>
      </w:r>
      <w:r w:rsidRPr="00317006">
        <w:rPr>
          <w:rFonts w:ascii="Tw Cen MT" w:hAnsi="Tw Cen MT" w:cs="CordiaUPC"/>
          <w:b/>
          <w:bCs/>
          <w:sz w:val="18"/>
          <w:szCs w:val="18"/>
        </w:rPr>
        <w:t xml:space="preserve"> </w:t>
      </w:r>
      <w:r w:rsidRPr="00317006">
        <w:rPr>
          <w:rFonts w:ascii="Tw Cen MT" w:hAnsi="Tw Cen MT" w:cs="CordiaUPC"/>
          <w:sz w:val="18"/>
          <w:szCs w:val="18"/>
        </w:rPr>
        <w:t>experimental study to compare biomechanical property of synthetic bone of femoral neck fracture fixed by 2 formations of screws was conduct. AP bending test and axial compression test were perform to assess AP stiffness, Axial stiffness, and</w:t>
      </w:r>
      <w:r w:rsidRPr="00317006">
        <w:rPr>
          <w:rFonts w:ascii="Tw Cen MT" w:hAnsi="Tw Cen MT" w:cs="CordiaUPC"/>
          <w:sz w:val="18"/>
          <w:szCs w:val="18"/>
          <w:cs/>
        </w:rPr>
        <w:t xml:space="preserve"> </w:t>
      </w:r>
      <w:r w:rsidRPr="00317006">
        <w:rPr>
          <w:rFonts w:ascii="Tw Cen MT" w:hAnsi="Tw Cen MT" w:cs="CordiaUPC"/>
          <w:sz w:val="18"/>
          <w:szCs w:val="18"/>
        </w:rPr>
        <w:t>Axial failure load. The data were analyzed using student t-test.</w:t>
      </w:r>
    </w:p>
    <w:p w14:paraId="7CBE637B" w14:textId="77777777" w:rsidR="00317006" w:rsidRPr="00317006" w:rsidRDefault="00317006" w:rsidP="00317006">
      <w:pPr>
        <w:pStyle w:val="Title"/>
        <w:jc w:val="left"/>
        <w:rPr>
          <w:rFonts w:ascii="Tw Cen MT" w:hAnsi="Tw Cen MT" w:cs="CordiaUPC"/>
          <w:b/>
          <w:bCs/>
          <w:sz w:val="18"/>
          <w:szCs w:val="18"/>
        </w:rPr>
      </w:pPr>
      <w:r w:rsidRPr="00317006">
        <w:rPr>
          <w:rFonts w:ascii="Tw Cen MT" w:hAnsi="Tw Cen MT" w:cs="CordiaUPC"/>
          <w:b/>
          <w:bCs/>
          <w:sz w:val="18"/>
          <w:szCs w:val="18"/>
        </w:rPr>
        <w:t>Results</w:t>
      </w:r>
    </w:p>
    <w:p w14:paraId="2EFB5DA5" w14:textId="77777777" w:rsidR="00317006" w:rsidRPr="002D593C" w:rsidRDefault="00317006" w:rsidP="00317006">
      <w:pPr>
        <w:pStyle w:val="Title"/>
        <w:jc w:val="left"/>
        <w:rPr>
          <w:rFonts w:ascii="CordiaUPC" w:hAnsi="CordiaUPC" w:cs="CordiaUPC"/>
          <w:sz w:val="28"/>
          <w:szCs w:val="28"/>
        </w:rPr>
      </w:pPr>
      <w:r w:rsidRPr="00317006">
        <w:rPr>
          <w:rFonts w:ascii="Tw Cen MT" w:hAnsi="Tw Cen MT" w:cs="CordiaUPC"/>
          <w:b/>
          <w:bCs/>
          <w:sz w:val="18"/>
          <w:szCs w:val="18"/>
        </w:rPr>
        <w:tab/>
      </w:r>
      <w:r w:rsidRPr="00317006">
        <w:rPr>
          <w:rFonts w:ascii="Tw Cen MT" w:hAnsi="Tw Cen MT" w:cs="CordiaUPC"/>
          <w:sz w:val="18"/>
          <w:szCs w:val="18"/>
        </w:rPr>
        <w:t>The axial stiffness was significantly higher in the DCCS group than the CFIX group</w:t>
      </w:r>
      <w:r w:rsidRPr="00317006">
        <w:rPr>
          <w:rFonts w:ascii="Tw Cen MT" w:hAnsi="Tw Cen MT" w:cs="CordiaUPC"/>
          <w:b/>
          <w:bCs/>
          <w:sz w:val="18"/>
          <w:szCs w:val="18"/>
        </w:rPr>
        <w:t xml:space="preserve"> </w:t>
      </w:r>
      <w:r w:rsidRPr="00317006">
        <w:rPr>
          <w:rFonts w:ascii="Tw Cen MT" w:hAnsi="Tw Cen MT" w:cs="CordiaUPC"/>
          <w:sz w:val="18"/>
          <w:szCs w:val="18"/>
        </w:rPr>
        <w:t>(1755 Newton/mm vs 1130 Newton/mm, p = 0.03). The axial failure load was significantly higher in DCCS group than the CFIX group</w:t>
      </w:r>
      <w:r w:rsidRPr="00317006">
        <w:rPr>
          <w:rFonts w:ascii="Tw Cen MT" w:hAnsi="Tw Cen MT" w:cs="CordiaUPC"/>
          <w:b/>
          <w:bCs/>
          <w:sz w:val="18"/>
          <w:szCs w:val="18"/>
        </w:rPr>
        <w:t xml:space="preserve"> </w:t>
      </w:r>
      <w:r w:rsidRPr="00317006">
        <w:rPr>
          <w:rFonts w:ascii="Tw Cen MT" w:hAnsi="Tw Cen MT" w:cs="CordiaUPC"/>
          <w:sz w:val="18"/>
          <w:szCs w:val="18"/>
        </w:rPr>
        <w:t>(1040 Newton vs 815 Newton, p = 0.04)</w:t>
      </w:r>
      <w:r w:rsidRPr="00317006">
        <w:rPr>
          <w:rFonts w:ascii="Tw Cen MT" w:hAnsi="Tw Cen MT" w:cs="CordiaUPC"/>
          <w:b/>
          <w:bCs/>
          <w:sz w:val="18"/>
          <w:szCs w:val="18"/>
        </w:rPr>
        <w:t xml:space="preserve">. </w:t>
      </w:r>
      <w:r w:rsidRPr="00317006">
        <w:rPr>
          <w:rFonts w:ascii="Tw Cen MT" w:hAnsi="Tw Cen MT" w:cs="CordiaUPC"/>
          <w:sz w:val="18"/>
          <w:szCs w:val="18"/>
        </w:rPr>
        <w:t>The AP stiffness was comparable in the DCCS group and the CFIX group (4.95 Nm/degree vs 4.32 Nm/degree, p = 0.08)</w:t>
      </w:r>
    </w:p>
    <w:p w14:paraId="7C44556F" w14:textId="77777777" w:rsidR="00317006" w:rsidRPr="00317006" w:rsidRDefault="00317006" w:rsidP="00317006">
      <w:pPr>
        <w:pStyle w:val="Title"/>
        <w:jc w:val="left"/>
        <w:rPr>
          <w:rFonts w:ascii="Tw Cen MT" w:hAnsi="Tw Cen MT" w:cs="CordiaUPC"/>
          <w:b/>
          <w:bCs/>
          <w:sz w:val="18"/>
          <w:szCs w:val="18"/>
        </w:rPr>
      </w:pPr>
      <w:r w:rsidRPr="00317006">
        <w:rPr>
          <w:rFonts w:ascii="Tw Cen MT" w:hAnsi="Tw Cen MT" w:cs="CordiaUPC"/>
          <w:b/>
          <w:bCs/>
          <w:sz w:val="18"/>
          <w:szCs w:val="18"/>
        </w:rPr>
        <w:t>Conclusions</w:t>
      </w:r>
    </w:p>
    <w:p w14:paraId="7A27E182" w14:textId="281B4BDE" w:rsidR="00AE3E37" w:rsidRPr="00317006" w:rsidRDefault="00317006" w:rsidP="00317006">
      <w:pPr>
        <w:pStyle w:val="BodyText"/>
        <w:spacing w:before="90" w:line="280" w:lineRule="auto"/>
        <w:ind w:left="100"/>
        <w:jc w:val="both"/>
      </w:pPr>
      <w:r w:rsidRPr="00317006">
        <w:rPr>
          <w:rFonts w:cs="CordiaUPC"/>
          <w:b/>
          <w:bCs/>
        </w:rPr>
        <w:tab/>
      </w:r>
      <w:r w:rsidRPr="00317006">
        <w:rPr>
          <w:rFonts w:cs="CordiaUPC"/>
        </w:rPr>
        <w:t>Compare to the CFIX method,</w:t>
      </w:r>
      <w:r w:rsidRPr="00317006">
        <w:rPr>
          <w:rFonts w:cs="CordiaUPC"/>
          <w:b/>
          <w:bCs/>
        </w:rPr>
        <w:t xml:space="preserve"> </w:t>
      </w:r>
      <w:r w:rsidRPr="00317006">
        <w:rPr>
          <w:rFonts w:cs="CordiaUPC"/>
        </w:rPr>
        <w:t>the DCCS method appeared to be a more secured fixation method in Pauwels type 3 femoral neck fracture.</w:t>
      </w:r>
    </w:p>
    <w:p w14:paraId="6703234C" w14:textId="24DBE4E3" w:rsidR="00AE3E37" w:rsidRDefault="00D24DA7">
      <w:pPr>
        <w:pStyle w:val="Heading3"/>
        <w:spacing w:before="74"/>
      </w:pPr>
      <w:r>
        <w:rPr>
          <w:noProof/>
          <w:color w:val="BF5A14"/>
        </w:rPr>
        <w:drawing>
          <wp:anchor distT="0" distB="0" distL="114300" distR="114300" simplePos="0" relativeHeight="251660800" behindDoc="0" locked="0" layoutInCell="1" allowOverlap="1" wp14:anchorId="5E4F7052" wp14:editId="24E1396C">
            <wp:simplePos x="0" y="0"/>
            <wp:positionH relativeFrom="column">
              <wp:posOffset>158750</wp:posOffset>
            </wp:positionH>
            <wp:positionV relativeFrom="paragraph">
              <wp:posOffset>162560</wp:posOffset>
            </wp:positionV>
            <wp:extent cx="777875" cy="977900"/>
            <wp:effectExtent l="0" t="0" r="3175" b="0"/>
            <wp:wrapThrough wrapText="bothSides">
              <wp:wrapPolygon edited="0">
                <wp:start x="0" y="0"/>
                <wp:lineTo x="0" y="21039"/>
                <wp:lineTo x="21159" y="21039"/>
                <wp:lineTo x="2115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jpg"/>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777875" cy="977900"/>
                    </a:xfrm>
                    <a:prstGeom prst="rect">
                      <a:avLst/>
                    </a:prstGeom>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t>Image</w:t>
      </w:r>
    </w:p>
    <w:p w14:paraId="7E6E0A2D" w14:textId="5A83B759" w:rsidR="00AE3E37" w:rsidRDefault="00317006">
      <w:pPr>
        <w:pStyle w:val="BodyText"/>
        <w:spacing w:before="2"/>
        <w:rPr>
          <w:rFonts w:ascii="Arial"/>
          <w:b/>
          <w:sz w:val="16"/>
        </w:rPr>
      </w:pPr>
      <w:r>
        <w:rPr>
          <w:noProof/>
        </w:rPr>
        <w:drawing>
          <wp:anchor distT="0" distB="0" distL="114300" distR="114300" simplePos="0" relativeHeight="251659776" behindDoc="0" locked="0" layoutInCell="1" allowOverlap="1" wp14:anchorId="0FB2B0CC" wp14:editId="4F53BCED">
            <wp:simplePos x="0" y="0"/>
            <wp:positionH relativeFrom="column">
              <wp:posOffset>360680</wp:posOffset>
            </wp:positionH>
            <wp:positionV relativeFrom="paragraph">
              <wp:posOffset>44450</wp:posOffset>
            </wp:positionV>
            <wp:extent cx="2679700" cy="1764030"/>
            <wp:effectExtent l="0" t="0" r="6350" b="7620"/>
            <wp:wrapThrough wrapText="bothSides">
              <wp:wrapPolygon edited="0">
                <wp:start x="0" y="0"/>
                <wp:lineTo x="0" y="21460"/>
                <wp:lineTo x="21498" y="21460"/>
                <wp:lineTo x="2149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27558" t="39347" r="29018" b="9799"/>
                    <a:stretch/>
                  </pic:blipFill>
                  <pic:spPr bwMode="auto">
                    <a:xfrm>
                      <a:off x="0" y="0"/>
                      <a:ext cx="2679700" cy="17640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894BF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4275A70" w14:textId="115DDE76" w:rsidR="00AE3E37" w:rsidRPr="00D24DA7" w:rsidRDefault="00D24DA7">
      <w:pPr>
        <w:spacing w:line="200" w:lineRule="exact"/>
        <w:jc w:val="both"/>
        <w:rPr>
          <w:rFonts w:ascii="Calibri" w:hAnsi="Calibri"/>
          <w:sz w:val="18"/>
          <w:szCs w:val="18"/>
        </w:rPr>
        <w:sectPr w:rsidR="00AE3E37" w:rsidRPr="00D24DA7">
          <w:type w:val="continuous"/>
          <w:pgSz w:w="11910" w:h="16840"/>
          <w:pgMar w:top="1740" w:right="600" w:bottom="840" w:left="620" w:header="720" w:footer="720" w:gutter="0"/>
          <w:cols w:num="2" w:space="720" w:equalWidth="0">
            <w:col w:w="5214" w:space="138"/>
            <w:col w:w="5338"/>
          </w:cols>
        </w:sectPr>
      </w:pPr>
      <w:r w:rsidRPr="00D24DA7">
        <w:rPr>
          <w:rFonts w:ascii="Calibri" w:hAnsi="Calibri"/>
          <w:sz w:val="18"/>
          <w:szCs w:val="18"/>
        </w:rPr>
        <w:t>none</w:t>
      </w:r>
      <w:r w:rsidR="008756E6" w:rsidRPr="00D24DA7">
        <w:rPr>
          <w:rFonts w:ascii="Calibri" w:hAnsi="Calibri"/>
          <w:sz w:val="18"/>
          <w:szCs w:val="18"/>
        </w:rPr>
        <w:t xml:space="preserve">   </w:t>
      </w:r>
    </w:p>
    <w:p w14:paraId="34C55E91"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12C9BF6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681B45F" wp14:editId="48F18E8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F9E0D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0C00338" w14:textId="5B73663D"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41485568" w14:textId="54F6E6E3" w:rsidR="00AE3E37" w:rsidRDefault="00001716">
      <w:pPr>
        <w:spacing w:before="41" w:line="154" w:lineRule="exact"/>
        <w:ind w:left="213" w:right="231"/>
        <w:jc w:val="both"/>
        <w:rPr>
          <w:rFonts w:ascii="Arial"/>
          <w:sz w:val="14"/>
        </w:rPr>
      </w:pPr>
      <w:r>
        <w:rPr>
          <w:rFonts w:ascii="Arial"/>
          <w:sz w:val="14"/>
        </w:rPr>
        <w:t>Napat Na takuatoong is a fourth-year orthopedic resident in Sunpasitthiprasong Hospital, Thailand. He graduated with second class honor in Doctor of medicine, Chulalongkorn University. Napat has 5 years of public practice as doctor.</w:t>
      </w:r>
    </w:p>
    <w:p w14:paraId="257BECA6" w14:textId="1E326EE1" w:rsidR="006C60F2" w:rsidRDefault="006C60F2">
      <w:pPr>
        <w:spacing w:before="41" w:line="154" w:lineRule="exact"/>
        <w:ind w:left="213" w:right="231"/>
        <w:jc w:val="both"/>
        <w:rPr>
          <w:rFonts w:ascii="Arial"/>
          <w:sz w:val="14"/>
        </w:rPr>
      </w:pPr>
    </w:p>
    <w:p w14:paraId="0FD467A9" w14:textId="62998187" w:rsidR="006C60F2" w:rsidRDefault="006C60F2">
      <w:pPr>
        <w:spacing w:before="41" w:line="154" w:lineRule="exact"/>
        <w:ind w:left="213" w:right="231"/>
        <w:jc w:val="both"/>
        <w:rPr>
          <w:rFonts w:ascii="Arial"/>
          <w:sz w:val="14"/>
        </w:rPr>
      </w:pPr>
    </w:p>
    <w:p w14:paraId="360B0EA8" w14:textId="77777777" w:rsidR="006C60F2" w:rsidRDefault="006C60F2">
      <w:pPr>
        <w:spacing w:before="41" w:line="154" w:lineRule="exact"/>
        <w:ind w:left="213" w:right="231"/>
        <w:jc w:val="both"/>
        <w:rPr>
          <w:rFonts w:ascii="Arial"/>
          <w:sz w:val="14"/>
        </w:rPr>
      </w:pPr>
    </w:p>
    <w:p w14:paraId="0F015D5D" w14:textId="75954AC5" w:rsidR="00AE3E37" w:rsidRDefault="00A9710C">
      <w:pPr>
        <w:spacing w:before="62"/>
        <w:ind w:left="4217" w:right="4235"/>
        <w:jc w:val="center"/>
        <w:rPr>
          <w:rFonts w:ascii="Arial"/>
          <w:sz w:val="14"/>
        </w:rPr>
      </w:pPr>
      <w:r>
        <w:rPr>
          <w:rFonts w:ascii="Arial"/>
          <w:sz w:val="14"/>
        </w:rPr>
        <w:t xml:space="preserve">Email: </w:t>
      </w:r>
      <w:hyperlink r:id="rId11" w:history="1">
        <w:r w:rsidR="006C60F2" w:rsidRPr="00A37480">
          <w:rPr>
            <w:rStyle w:val="Hyperlink"/>
            <w:rFonts w:ascii="Arial"/>
            <w:sz w:val="14"/>
          </w:rPr>
          <w:t>napat_nata@hotmail.com</w:t>
        </w:r>
      </w:hyperlink>
    </w:p>
    <w:p w14:paraId="1A061E3D" w14:textId="5220374E" w:rsidR="00AE3E37" w:rsidRDefault="00292ED9" w:rsidP="006C60F2">
      <w:pPr>
        <w:pStyle w:val="BodyText"/>
        <w:spacing w:before="2"/>
        <w:rPr>
          <w:rFonts w:ascii="Arial"/>
          <w:sz w:val="19"/>
        </w:rPr>
      </w:pPr>
      <w:r>
        <w:rPr>
          <w:noProof/>
          <w:lang w:val="en-IN" w:eastAsia="en-IN"/>
        </w:rPr>
        <mc:AlternateContent>
          <mc:Choice Requires="wps">
            <w:drawing>
              <wp:anchor distT="0" distB="0" distL="0" distR="0" simplePos="0" relativeHeight="251653632" behindDoc="0" locked="0" layoutInCell="1" allowOverlap="1" wp14:anchorId="71D9360D" wp14:editId="34FB762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FB246B" id="Line 3" o:spid="_x0000_s1026" style="position:absolute;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8F682C7" w14:textId="77777777" w:rsidR="006C60F2" w:rsidRPr="006C60F2" w:rsidRDefault="006C60F2" w:rsidP="006C60F2">
      <w:pPr>
        <w:pStyle w:val="BodyText"/>
        <w:spacing w:before="2"/>
        <w:rPr>
          <w:rFonts w:ascii="Arial"/>
          <w:sz w:val="19"/>
        </w:rPr>
      </w:pPr>
    </w:p>
    <w:p w14:paraId="77C2CA4C" w14:textId="097AC621" w:rsidR="00AE3E37" w:rsidRPr="00B21A57" w:rsidRDefault="00A9710C">
      <w:pPr>
        <w:spacing w:before="39"/>
        <w:ind w:left="100"/>
        <w:rPr>
          <w:rFonts w:ascii="Minion Pro"/>
          <w:b/>
          <w:sz w:val="20"/>
        </w:rPr>
      </w:pPr>
      <w:r w:rsidRPr="00B21A57">
        <w:rPr>
          <w:rFonts w:ascii="Minion Pro"/>
          <w:b/>
          <w:sz w:val="20"/>
        </w:rPr>
        <w:t>Notes/Comments:</w:t>
      </w:r>
    </w:p>
    <w:p w14:paraId="06D7B20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BD5B074" w14:textId="34D6D888"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66872A" w14:textId="77777777" w:rsidR="00310493" w:rsidRDefault="00310493">
      <w:r>
        <w:separator/>
      </w:r>
    </w:p>
  </w:endnote>
  <w:endnote w:type="continuationSeparator" w:id="0">
    <w:p w14:paraId="433BDF7A" w14:textId="77777777" w:rsidR="00310493" w:rsidRDefault="00310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ordiaUPC">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0471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3CD40A8" wp14:editId="043643B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9E75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4CD3D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CD40A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E99E75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4CD3D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0D0F01E" wp14:editId="5A9875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8968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62E26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0F01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468968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62E26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5E2AD71" wp14:editId="04248E4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19DC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1FDC8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2AD7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9519DC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1FDC8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278434" w14:textId="77777777" w:rsidR="00310493" w:rsidRDefault="00310493">
      <w:r>
        <w:separator/>
      </w:r>
    </w:p>
  </w:footnote>
  <w:footnote w:type="continuationSeparator" w:id="0">
    <w:p w14:paraId="67EB2A8F" w14:textId="77777777" w:rsidR="00310493" w:rsidRDefault="00310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24A0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55C4213" wp14:editId="3F5F855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25B6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5C421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9725B6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E8ACAB8" wp14:editId="3D8FE19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06FE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42CB2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ACAB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8306FE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542CB2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1716"/>
    <w:rsid w:val="000C5EF2"/>
    <w:rsid w:val="000E2911"/>
    <w:rsid w:val="001263DF"/>
    <w:rsid w:val="001E763C"/>
    <w:rsid w:val="00292ED9"/>
    <w:rsid w:val="00310493"/>
    <w:rsid w:val="00314AFB"/>
    <w:rsid w:val="00317006"/>
    <w:rsid w:val="003B76D9"/>
    <w:rsid w:val="00404E5B"/>
    <w:rsid w:val="00414F7B"/>
    <w:rsid w:val="004355DC"/>
    <w:rsid w:val="004749B4"/>
    <w:rsid w:val="00494130"/>
    <w:rsid w:val="004F3523"/>
    <w:rsid w:val="005973B9"/>
    <w:rsid w:val="005B3A56"/>
    <w:rsid w:val="005C1372"/>
    <w:rsid w:val="006060CE"/>
    <w:rsid w:val="0063497F"/>
    <w:rsid w:val="006C60F2"/>
    <w:rsid w:val="0078738A"/>
    <w:rsid w:val="00873DF0"/>
    <w:rsid w:val="008756E6"/>
    <w:rsid w:val="009B2D44"/>
    <w:rsid w:val="00A07E82"/>
    <w:rsid w:val="00A9710C"/>
    <w:rsid w:val="00AE3E37"/>
    <w:rsid w:val="00B21A57"/>
    <w:rsid w:val="00C33602"/>
    <w:rsid w:val="00CD6F55"/>
    <w:rsid w:val="00D24DA7"/>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7863D"/>
  <w15:docId w15:val="{82E20E22-6C9C-4F69-9F6C-F335A6B5B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link w:val="TitleChar"/>
    <w:qFormat/>
    <w:rsid w:val="00317006"/>
    <w:pPr>
      <w:widowControl/>
      <w:jc w:val="center"/>
    </w:pPr>
    <w:rPr>
      <w:rFonts w:ascii="Cordia New" w:eastAsia="Cordia New" w:hAnsi="Cordia New" w:cs="Cordia New"/>
      <w:sz w:val="32"/>
      <w:szCs w:val="32"/>
      <w:lang w:eastAsia="zh-CN" w:bidi="th-TH"/>
    </w:rPr>
  </w:style>
  <w:style w:type="character" w:customStyle="1" w:styleId="TitleChar">
    <w:name w:val="Title Char"/>
    <w:basedOn w:val="DefaultParagraphFont"/>
    <w:link w:val="Title"/>
    <w:rsid w:val="00317006"/>
    <w:rPr>
      <w:rFonts w:ascii="Cordia New" w:eastAsia="Cordia New" w:hAnsi="Cordia New" w:cs="Cordia New"/>
      <w:sz w:val="32"/>
      <w:szCs w:val="32"/>
      <w:lang w:eastAsia="zh-CN" w:bidi="th-TH"/>
    </w:rPr>
  </w:style>
  <w:style w:type="character" w:styleId="UnresolvedMention">
    <w:name w:val="Unresolved Mention"/>
    <w:basedOn w:val="DefaultParagraphFont"/>
    <w:uiPriority w:val="99"/>
    <w:semiHidden/>
    <w:unhideWhenUsed/>
    <w:rsid w:val="006C60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apat_nata@hot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Napat Na takuatoong</cp:lastModifiedBy>
  <cp:revision>3</cp:revision>
  <dcterms:created xsi:type="dcterms:W3CDTF">2020-06-29T15:54:00Z</dcterms:created>
  <dcterms:modified xsi:type="dcterms:W3CDTF">2020-06-29T16:08:00Z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