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Default Extension="docx" ContentType="application/vnd.openxmlformats-officedocument.wordprocessingml.document"/>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2611" w:rsidRPr="002C2611" w:rsidRDefault="002C2611" w:rsidP="002C2611">
      <w:pPr>
        <w:pStyle w:val="normal0"/>
        <w:pBdr>
          <w:top w:val="nil"/>
          <w:left w:val="nil"/>
          <w:bottom w:val="nil"/>
          <w:right w:val="nil"/>
          <w:between w:val="nil"/>
        </w:pBdr>
        <w:spacing w:before="170" w:line="400" w:lineRule="exact"/>
        <w:rPr>
          <w:rFonts w:eastAsia="Times New Roman"/>
          <w:b/>
          <w:color w:val="548DD4" w:themeColor="text2" w:themeTint="99"/>
          <w:sz w:val="36"/>
          <w:szCs w:val="36"/>
        </w:rPr>
      </w:pPr>
      <w:r w:rsidRPr="002C2611">
        <w:rPr>
          <w:rFonts w:eastAsia="Times New Roman"/>
          <w:b/>
          <w:color w:val="548DD4" w:themeColor="text2" w:themeTint="99"/>
          <w:sz w:val="36"/>
          <w:szCs w:val="36"/>
        </w:rPr>
        <w:t xml:space="preserve">Implementation of an osteoporosis </w:t>
      </w:r>
      <w:r w:rsidRPr="002C2611">
        <w:rPr>
          <w:rFonts w:eastAsia="Times New Roman"/>
          <w:b/>
          <w:color w:val="548DD4" w:themeColor="text2" w:themeTint="99"/>
          <w:sz w:val="36"/>
          <w:szCs w:val="36"/>
          <w:highlight w:val="white"/>
        </w:rPr>
        <w:t xml:space="preserve">risk assessment instrument </w:t>
      </w:r>
      <w:r w:rsidRPr="002C2611">
        <w:rPr>
          <w:rFonts w:eastAsia="Times New Roman"/>
          <w:b/>
          <w:color w:val="548DD4" w:themeColor="text2" w:themeTint="99"/>
          <w:sz w:val="36"/>
          <w:szCs w:val="36"/>
        </w:rPr>
        <w:t>(</w:t>
      </w:r>
      <w:r w:rsidRPr="002C2611">
        <w:rPr>
          <w:rFonts w:eastAsia="Times New Roman"/>
          <w:b/>
          <w:color w:val="548DD4" w:themeColor="text2" w:themeTint="99"/>
          <w:sz w:val="36"/>
          <w:szCs w:val="36"/>
          <w:highlight w:val="white"/>
        </w:rPr>
        <w:t>ORAI</w:t>
      </w:r>
      <w:r w:rsidRPr="002C2611">
        <w:rPr>
          <w:rFonts w:eastAsia="Times New Roman"/>
          <w:b/>
          <w:color w:val="548DD4" w:themeColor="text2" w:themeTint="99"/>
          <w:sz w:val="36"/>
          <w:szCs w:val="36"/>
        </w:rPr>
        <w:t xml:space="preserve">) to increase referral rates for DEXA Scanning in the primary care setting. </w:t>
      </w:r>
    </w:p>
    <w:p w:rsidR="002C2611" w:rsidRPr="002C2611" w:rsidRDefault="002C2611" w:rsidP="002C2611">
      <w:pPr>
        <w:pStyle w:val="BodyText"/>
        <w:spacing w:before="73" w:line="198" w:lineRule="exact"/>
        <w:ind w:left="101" w:right="5990"/>
        <w:jc w:val="both"/>
        <w:rPr>
          <w:rFonts w:ascii="Arial" w:hAnsi="Arial" w:cs="Arial"/>
        </w:rPr>
      </w:pPr>
      <w:r w:rsidRPr="002C2611">
        <w:rPr>
          <w:rFonts w:ascii="Arial" w:hAnsi="Arial" w:cs="Arial"/>
        </w:rPr>
        <w:t>ES, c-DNP, RN-BC,USA</w:t>
      </w:r>
    </w:p>
    <w:p w:rsidR="002C2611" w:rsidRPr="002C2611" w:rsidRDefault="002C2611" w:rsidP="002C2611">
      <w:pPr>
        <w:pStyle w:val="BodyText"/>
        <w:spacing w:before="73" w:line="198" w:lineRule="exact"/>
        <w:ind w:left="101" w:right="5990"/>
        <w:jc w:val="both"/>
        <w:rPr>
          <w:rFonts w:ascii="Arial" w:hAnsi="Arial" w:cs="Arial"/>
        </w:rPr>
      </w:pPr>
      <w:r w:rsidRPr="002C2611">
        <w:rPr>
          <w:rFonts w:ascii="Arial" w:hAnsi="Arial" w:cs="Arial"/>
        </w:rPr>
        <w:t xml:space="preserve">Dr DG, DNP, RN-BC, APN, USA </w:t>
      </w:r>
    </w:p>
    <w:p w:rsidR="002C2611" w:rsidRPr="002C2611" w:rsidRDefault="002C2611" w:rsidP="002C2611">
      <w:pPr>
        <w:pStyle w:val="BodyText"/>
        <w:spacing w:before="73" w:line="198" w:lineRule="exact"/>
        <w:ind w:left="101" w:right="5990"/>
        <w:jc w:val="both"/>
        <w:rPr>
          <w:rFonts w:ascii="Arial" w:hAnsi="Arial" w:cs="Arial"/>
        </w:rPr>
      </w:pPr>
      <w:r w:rsidRPr="002C2611">
        <w:rPr>
          <w:rFonts w:ascii="Arial" w:hAnsi="Arial" w:cs="Arial"/>
        </w:rPr>
        <w:t>Dr PL, MD, USA</w:t>
      </w:r>
    </w:p>
    <w:p w:rsidR="002C2611" w:rsidRDefault="002C2611" w:rsidP="002C2611">
      <w:pPr>
        <w:pStyle w:val="BodyText"/>
        <w:spacing w:before="73" w:line="198" w:lineRule="exact"/>
        <w:ind w:left="101" w:right="5990"/>
        <w:jc w:val="both"/>
        <w:rPr>
          <w:rFonts w:ascii="Arial" w:hAnsi="Arial" w:cs="Arial"/>
        </w:rPr>
      </w:pPr>
      <w:r w:rsidRPr="002C2611">
        <w:rPr>
          <w:rFonts w:ascii="Arial" w:hAnsi="Arial" w:cs="Arial"/>
        </w:rPr>
        <w:t xml:space="preserve">Dr  BT, MD,USA </w:t>
      </w:r>
    </w:p>
    <w:p w:rsidR="002C2611" w:rsidRPr="002C2611" w:rsidRDefault="002C2611" w:rsidP="002C2611">
      <w:pPr>
        <w:pStyle w:val="BodyText"/>
        <w:spacing w:before="73" w:line="198" w:lineRule="exact"/>
        <w:ind w:left="100" w:right="5987"/>
        <w:rPr>
          <w:rFonts w:ascii="Arial" w:hAnsi="Arial" w:cs="Arial"/>
        </w:rPr>
      </w:pPr>
    </w:p>
    <w:p w:rsidR="00E409C2" w:rsidRDefault="00E409C2">
      <w:pPr>
        <w:rPr>
          <w:rFonts w:ascii="Arial" w:hAnsi="Arial" w:cs="Arial"/>
          <w:b/>
          <w:color w:val="BF5A14"/>
          <w:sz w:val="18"/>
          <w:szCs w:val="18"/>
        </w:rPr>
        <w:sectPr w:rsidR="00E409C2" w:rsidSect="007D5AA8">
          <w:pgSz w:w="12240" w:h="15840"/>
          <w:pgMar w:top="1440" w:right="1440" w:bottom="1440" w:left="1440" w:header="720" w:footer="720" w:gutter="0"/>
          <w:cols w:space="720"/>
          <w:docGrid w:linePitch="360"/>
        </w:sectPr>
      </w:pPr>
    </w:p>
    <w:p w:rsidR="007D5AA8" w:rsidRDefault="002C2611">
      <w:pPr>
        <w:rPr>
          <w:rFonts w:ascii="Arial" w:hAnsi="Arial" w:cs="Arial"/>
          <w:b/>
          <w:color w:val="BF5A14"/>
          <w:sz w:val="18"/>
          <w:szCs w:val="18"/>
        </w:rPr>
      </w:pPr>
      <w:r w:rsidRPr="002C2611">
        <w:rPr>
          <w:rFonts w:ascii="Arial" w:hAnsi="Arial" w:cs="Arial"/>
          <w:b/>
          <w:color w:val="BF5A14"/>
          <w:sz w:val="18"/>
          <w:szCs w:val="18"/>
        </w:rPr>
        <w:lastRenderedPageBreak/>
        <w:t>Abstract</w:t>
      </w:r>
    </w:p>
    <w:p w:rsidR="002C2611" w:rsidRDefault="002C2611" w:rsidP="00E409C2">
      <w:pPr>
        <w:pStyle w:val="normal0"/>
        <w:pBdr>
          <w:top w:val="nil"/>
          <w:left w:val="nil"/>
          <w:bottom w:val="nil"/>
          <w:right w:val="nil"/>
          <w:between w:val="nil"/>
        </w:pBdr>
        <w:spacing w:line="480" w:lineRule="auto"/>
        <w:rPr>
          <w:rFonts w:ascii="Tw Cen MT" w:eastAsia="Times New Roman" w:hAnsi="Tw Cen MT" w:cs="Times New Roman"/>
          <w:color w:val="000000"/>
          <w:sz w:val="18"/>
          <w:szCs w:val="18"/>
        </w:rPr>
      </w:pPr>
      <w:r w:rsidRPr="00E409C2">
        <w:rPr>
          <w:rFonts w:ascii="Tw Cen MT" w:hAnsi="Tw Cen MT"/>
          <w:sz w:val="18"/>
          <w:szCs w:val="18"/>
        </w:rPr>
        <w:t>Statement of the Problem:</w:t>
      </w:r>
      <w:r w:rsidR="00E409C2" w:rsidRPr="00E409C2">
        <w:rPr>
          <w:rFonts w:ascii="Tw Cen MT" w:eastAsia="Times New Roman" w:hAnsi="Tw Cen MT" w:cs="Times New Roman"/>
          <w:color w:val="000000"/>
          <w:sz w:val="18"/>
          <w:szCs w:val="18"/>
        </w:rPr>
        <w:t xml:space="preserve"> Osteoporosis (OP) is an under-diagnosed affliction affecting millions of people. A major obstacle to proper diagnosis is that OP is not easily identified during pre-screening processes. Primary care providers (PCPs) fail to identify warning signs of OP, and inform patients that Dual Energy X-Ray </w:t>
      </w:r>
      <w:r w:rsidR="00E409C2" w:rsidRPr="00E409C2">
        <w:rPr>
          <w:rFonts w:ascii="Tw Cen MT" w:eastAsia="Times New Roman" w:hAnsi="Tw Cen MT" w:cs="Times New Roman"/>
          <w:color w:val="000000"/>
          <w:sz w:val="18"/>
          <w:szCs w:val="18"/>
          <w:highlight w:val="white"/>
        </w:rPr>
        <w:t>Absorptiometry</w:t>
      </w:r>
      <w:r w:rsidR="00E409C2" w:rsidRPr="00E409C2">
        <w:rPr>
          <w:rFonts w:ascii="Tw Cen MT" w:eastAsia="Times New Roman" w:hAnsi="Tw Cen MT" w:cs="Times New Roman"/>
          <w:color w:val="000000"/>
          <w:sz w:val="18"/>
          <w:szCs w:val="18"/>
        </w:rPr>
        <w:t xml:space="preserve"> (DEXA) </w:t>
      </w:r>
      <w:r w:rsidR="00E409C2" w:rsidRPr="00E409C2">
        <w:rPr>
          <w:rFonts w:ascii="Tw Cen MT" w:eastAsia="Times New Roman" w:hAnsi="Tw Cen MT" w:cs="Times New Roman"/>
          <w:color w:val="000000"/>
          <w:sz w:val="18"/>
          <w:szCs w:val="18"/>
          <w:highlight w:val="white"/>
        </w:rPr>
        <w:t xml:space="preserve">scans are one of the </w:t>
      </w:r>
      <w:r w:rsidR="00E409C2" w:rsidRPr="00E409C2">
        <w:rPr>
          <w:rFonts w:ascii="Tw Cen MT" w:eastAsia="Times New Roman" w:hAnsi="Tw Cen MT" w:cs="Times New Roman"/>
          <w:color w:val="000000"/>
          <w:sz w:val="18"/>
          <w:szCs w:val="18"/>
        </w:rPr>
        <w:t xml:space="preserve">best </w:t>
      </w:r>
      <w:r w:rsidR="00E409C2" w:rsidRPr="00E409C2">
        <w:rPr>
          <w:rFonts w:ascii="Tw Cen MT" w:eastAsia="Times New Roman" w:hAnsi="Tw Cen MT" w:cs="Times New Roman"/>
          <w:color w:val="000000"/>
          <w:sz w:val="18"/>
          <w:szCs w:val="18"/>
          <w:highlight w:val="white"/>
        </w:rPr>
        <w:t>procedure</w:t>
      </w:r>
      <w:r w:rsidR="00E409C2" w:rsidRPr="00E409C2">
        <w:rPr>
          <w:rFonts w:ascii="Tw Cen MT" w:eastAsia="Times New Roman" w:hAnsi="Tw Cen MT" w:cs="Times New Roman"/>
          <w:sz w:val="18"/>
          <w:szCs w:val="18"/>
          <w:highlight w:val="white"/>
        </w:rPr>
        <w:t>s</w:t>
      </w:r>
      <w:r w:rsidR="00E409C2" w:rsidRPr="00E409C2">
        <w:rPr>
          <w:rFonts w:ascii="Tw Cen MT" w:eastAsia="Times New Roman" w:hAnsi="Tw Cen MT" w:cs="Times New Roman"/>
          <w:color w:val="000000"/>
          <w:sz w:val="18"/>
          <w:szCs w:val="18"/>
          <w:highlight w:val="white"/>
        </w:rPr>
        <w:t xml:space="preserve"> to assess bone health</w:t>
      </w:r>
      <w:r w:rsidR="00E409C2" w:rsidRPr="00E409C2">
        <w:rPr>
          <w:rFonts w:ascii="Tw Cen MT" w:eastAsia="Times New Roman" w:hAnsi="Tw Cen MT" w:cs="Times New Roman"/>
          <w:color w:val="000000"/>
          <w:sz w:val="18"/>
          <w:szCs w:val="18"/>
        </w:rPr>
        <w:t xml:space="preserve">. This project addressed the issue of low rate of referrals for DEXA scans and the low rate of  identification of OP and osteopenia through the use of a risk assessment tool collected from two primary care offices in Cranford and Elizabeth, New Jersey. This study </w:t>
      </w:r>
      <w:r w:rsidR="00E409C2" w:rsidRPr="00E409C2">
        <w:rPr>
          <w:rFonts w:ascii="Tw Cen MT" w:eastAsia="Times New Roman" w:hAnsi="Tw Cen MT" w:cs="Times New Roman"/>
          <w:sz w:val="18"/>
          <w:szCs w:val="18"/>
        </w:rPr>
        <w:t>drew</w:t>
      </w:r>
      <w:r w:rsidR="00E409C2" w:rsidRPr="00E409C2">
        <w:rPr>
          <w:rFonts w:ascii="Tw Cen MT" w:eastAsia="Times New Roman" w:hAnsi="Tw Cen MT" w:cs="Times New Roman"/>
          <w:color w:val="000000"/>
          <w:sz w:val="18"/>
          <w:szCs w:val="18"/>
        </w:rPr>
        <w:t xml:space="preserve"> its data from a sample size of 178 male and female patients, found through an oral script for snowball recruitment in the New Jersey doctors' offices t</w:t>
      </w:r>
      <w:r w:rsidR="00E409C2" w:rsidRPr="00E409C2">
        <w:rPr>
          <w:rFonts w:ascii="Tw Cen MT" w:eastAsia="Times New Roman" w:hAnsi="Tw Cen MT" w:cs="Times New Roman"/>
          <w:sz w:val="18"/>
          <w:szCs w:val="18"/>
        </w:rPr>
        <w:t>hat were</w:t>
      </w:r>
      <w:r w:rsidR="00E409C2" w:rsidRPr="00E409C2">
        <w:rPr>
          <w:rFonts w:ascii="Tw Cen MT" w:eastAsia="Times New Roman" w:hAnsi="Tw Cen MT" w:cs="Times New Roman"/>
          <w:color w:val="000000"/>
          <w:sz w:val="18"/>
          <w:szCs w:val="18"/>
        </w:rPr>
        <w:t xml:space="preserve"> the location for this study. </w:t>
      </w:r>
      <w:r w:rsidR="00E409C2" w:rsidRPr="00E409C2">
        <w:rPr>
          <w:rFonts w:ascii="Tw Cen MT" w:eastAsia="Times New Roman" w:hAnsi="Tw Cen MT" w:cs="Times New Roman"/>
          <w:sz w:val="18"/>
          <w:szCs w:val="18"/>
        </w:rPr>
        <w:t xml:space="preserve">Additionally, </w:t>
      </w:r>
      <w:r w:rsidR="00E409C2" w:rsidRPr="00E409C2">
        <w:rPr>
          <w:rFonts w:ascii="Tw Cen MT" w:eastAsia="Times New Roman" w:hAnsi="Tw Cen MT" w:cs="Times New Roman"/>
          <w:color w:val="000000"/>
          <w:sz w:val="18"/>
          <w:szCs w:val="18"/>
        </w:rPr>
        <w:t xml:space="preserve">posters </w:t>
      </w:r>
      <w:r w:rsidR="00E409C2" w:rsidRPr="00E409C2">
        <w:rPr>
          <w:rFonts w:ascii="Tw Cen MT" w:eastAsia="Times New Roman" w:hAnsi="Tw Cen MT" w:cs="Times New Roman"/>
          <w:sz w:val="18"/>
          <w:szCs w:val="18"/>
        </w:rPr>
        <w:t xml:space="preserve">were </w:t>
      </w:r>
      <w:r w:rsidR="00E409C2" w:rsidRPr="00E409C2">
        <w:rPr>
          <w:rFonts w:ascii="Tw Cen MT" w:eastAsia="Times New Roman" w:hAnsi="Tw Cen MT" w:cs="Times New Roman"/>
          <w:color w:val="000000"/>
          <w:sz w:val="18"/>
          <w:szCs w:val="18"/>
        </w:rPr>
        <w:t xml:space="preserve">displayed on bulletin boards </w:t>
      </w:r>
      <w:r w:rsidR="00E409C2" w:rsidRPr="00E409C2">
        <w:rPr>
          <w:rFonts w:ascii="Tw Cen MT" w:eastAsia="Times New Roman" w:hAnsi="Tw Cen MT" w:cs="Times New Roman"/>
          <w:sz w:val="18"/>
          <w:szCs w:val="18"/>
        </w:rPr>
        <w:t>at</w:t>
      </w:r>
      <w:r w:rsidR="00E409C2" w:rsidRPr="00E409C2">
        <w:rPr>
          <w:rFonts w:ascii="Tw Cen MT" w:eastAsia="Times New Roman" w:hAnsi="Tw Cen MT" w:cs="Times New Roman"/>
          <w:color w:val="000000"/>
          <w:sz w:val="18"/>
          <w:szCs w:val="18"/>
        </w:rPr>
        <w:t xml:space="preserve"> the aforementioned offices. Patients </w:t>
      </w:r>
      <w:r w:rsidR="00E409C2" w:rsidRPr="00E409C2">
        <w:rPr>
          <w:rFonts w:ascii="Tw Cen MT" w:eastAsia="Times New Roman" w:hAnsi="Tw Cen MT" w:cs="Times New Roman"/>
          <w:sz w:val="18"/>
          <w:szCs w:val="18"/>
        </w:rPr>
        <w:t>ranged</w:t>
      </w:r>
      <w:r w:rsidR="00E409C2" w:rsidRPr="00E409C2">
        <w:rPr>
          <w:rFonts w:ascii="Tw Cen MT" w:eastAsia="Times New Roman" w:hAnsi="Tw Cen MT" w:cs="Times New Roman"/>
          <w:color w:val="000000"/>
          <w:sz w:val="18"/>
          <w:szCs w:val="18"/>
        </w:rPr>
        <w:t xml:space="preserve"> in age from 50 to 89, selected from those who exhibited complaints associated with OP and osteopenia, but may not know their diagnosis. The 178 individuals </w:t>
      </w:r>
      <w:r w:rsidR="00E409C2" w:rsidRPr="00E409C2">
        <w:rPr>
          <w:rFonts w:ascii="Tw Cen MT" w:eastAsia="Times New Roman" w:hAnsi="Tw Cen MT" w:cs="Times New Roman"/>
          <w:sz w:val="18"/>
          <w:szCs w:val="18"/>
        </w:rPr>
        <w:t>were</w:t>
      </w:r>
      <w:r w:rsidR="00E409C2" w:rsidRPr="00E409C2">
        <w:rPr>
          <w:rFonts w:ascii="Tw Cen MT" w:eastAsia="Times New Roman" w:hAnsi="Tw Cen MT" w:cs="Times New Roman"/>
          <w:color w:val="000000"/>
          <w:sz w:val="18"/>
          <w:szCs w:val="18"/>
        </w:rPr>
        <w:t xml:space="preserve"> chosen by using the Osteoporosis </w:t>
      </w:r>
      <w:r w:rsidR="00E409C2" w:rsidRPr="00E409C2">
        <w:rPr>
          <w:rFonts w:ascii="Tw Cen MT" w:eastAsia="Times New Roman" w:hAnsi="Tw Cen MT" w:cs="Times New Roman"/>
          <w:color w:val="000000"/>
          <w:sz w:val="18"/>
          <w:szCs w:val="18"/>
          <w:highlight w:val="white"/>
        </w:rPr>
        <w:t>Risk Assessment Instrument (ORAI),</w:t>
      </w:r>
      <w:r w:rsidR="00E409C2" w:rsidRPr="00E409C2">
        <w:rPr>
          <w:rFonts w:ascii="Tw Cen MT" w:eastAsia="Times New Roman" w:hAnsi="Tw Cen MT" w:cs="Times New Roman"/>
          <w:color w:val="000000"/>
          <w:sz w:val="18"/>
          <w:szCs w:val="18"/>
        </w:rPr>
        <w:t xml:space="preserve"> a prescreening tool that aids in the selection of participants. Participants with a pre-screening score of </w:t>
      </w:r>
      <w:r w:rsidR="00E409C2" w:rsidRPr="00E409C2">
        <w:rPr>
          <w:rFonts w:ascii="Tw Cen MT" w:eastAsia="Times New Roman" w:hAnsi="Tw Cen MT" w:cs="Times New Roman"/>
          <w:color w:val="000000"/>
          <w:sz w:val="18"/>
          <w:szCs w:val="18"/>
          <w:highlight w:val="white"/>
        </w:rPr>
        <w:t>12 or more points</w:t>
      </w:r>
      <w:r w:rsidR="00E409C2" w:rsidRPr="00E409C2">
        <w:rPr>
          <w:rFonts w:ascii="Tw Cen MT" w:eastAsia="Times New Roman" w:hAnsi="Tw Cen MT" w:cs="Times New Roman"/>
          <w:color w:val="000000"/>
          <w:sz w:val="18"/>
          <w:szCs w:val="18"/>
        </w:rPr>
        <w:t xml:space="preserve"> </w:t>
      </w:r>
      <w:r w:rsidR="00E409C2" w:rsidRPr="00E409C2">
        <w:rPr>
          <w:rFonts w:ascii="Tw Cen MT" w:eastAsia="Times New Roman" w:hAnsi="Tw Cen MT" w:cs="Times New Roman"/>
          <w:sz w:val="18"/>
          <w:szCs w:val="18"/>
        </w:rPr>
        <w:t>were</w:t>
      </w:r>
      <w:r w:rsidR="00E409C2" w:rsidRPr="00E409C2">
        <w:rPr>
          <w:rFonts w:ascii="Tw Cen MT" w:eastAsia="Times New Roman" w:hAnsi="Tw Cen MT" w:cs="Times New Roman"/>
          <w:color w:val="000000"/>
          <w:sz w:val="18"/>
          <w:szCs w:val="18"/>
        </w:rPr>
        <w:t xml:space="preserve"> automatically referred for DEXA scans. The results of this project </w:t>
      </w:r>
      <w:r w:rsidR="00E409C2" w:rsidRPr="00E409C2">
        <w:rPr>
          <w:rFonts w:ascii="Tw Cen MT" w:eastAsia="Times New Roman" w:hAnsi="Tw Cen MT" w:cs="Times New Roman"/>
          <w:sz w:val="18"/>
          <w:szCs w:val="18"/>
        </w:rPr>
        <w:t>will be</w:t>
      </w:r>
      <w:r w:rsidR="00E409C2" w:rsidRPr="00E409C2">
        <w:rPr>
          <w:rFonts w:ascii="Tw Cen MT" w:eastAsia="Times New Roman" w:hAnsi="Tw Cen MT" w:cs="Times New Roman"/>
          <w:color w:val="000000"/>
          <w:sz w:val="18"/>
          <w:szCs w:val="18"/>
        </w:rPr>
        <w:t xml:space="preserve"> shared in academic presentations and </w:t>
      </w:r>
      <w:r w:rsidR="00E409C2" w:rsidRPr="00E409C2">
        <w:rPr>
          <w:rFonts w:ascii="Tw Cen MT" w:eastAsia="Times New Roman" w:hAnsi="Tw Cen MT" w:cs="Times New Roman"/>
          <w:color w:val="000000"/>
          <w:sz w:val="18"/>
          <w:szCs w:val="18"/>
        </w:rPr>
        <w:lastRenderedPageBreak/>
        <w:t>professional meetings, and can potentially be used in the development of education</w:t>
      </w:r>
      <w:r w:rsidR="00E409C2">
        <w:rPr>
          <w:rFonts w:ascii="Tw Cen MT" w:eastAsia="Times New Roman" w:hAnsi="Tw Cen MT" w:cs="Times New Roman"/>
          <w:color w:val="000000"/>
          <w:sz w:val="18"/>
          <w:szCs w:val="18"/>
        </w:rPr>
        <w:t>al materials about DEXA scans.</w:t>
      </w:r>
      <w:r w:rsidR="00E409C2">
        <w:rPr>
          <w:rFonts w:ascii="Tw Cen MT" w:eastAsia="Times New Roman" w:hAnsi="Tw Cen MT" w:cs="Times New Roman"/>
          <w:color w:val="000000"/>
          <w:sz w:val="18"/>
          <w:szCs w:val="18"/>
        </w:rPr>
        <w:tab/>
      </w:r>
    </w:p>
    <w:p w:rsidR="00E409C2" w:rsidRPr="00805DEE" w:rsidRDefault="00805DEE" w:rsidP="00E409C2">
      <w:pPr>
        <w:pStyle w:val="normal0"/>
        <w:pBdr>
          <w:top w:val="nil"/>
          <w:left w:val="nil"/>
          <w:bottom w:val="nil"/>
          <w:right w:val="nil"/>
          <w:between w:val="nil"/>
        </w:pBdr>
        <w:spacing w:line="480" w:lineRule="auto"/>
        <w:rPr>
          <w:rFonts w:ascii="Tw Cen MT" w:eastAsia="Times New Roman" w:hAnsi="Tw Cen MT" w:cs="Times New Roman"/>
          <w:color w:val="000000"/>
          <w:sz w:val="18"/>
          <w:szCs w:val="18"/>
        </w:rPr>
      </w:pPr>
      <w:r w:rsidRPr="00805DEE">
        <w:rPr>
          <w:rFonts w:ascii="Tw Cen MT" w:eastAsia="Times New Roman" w:hAnsi="Tw Cen MT" w:cs="Times New Roman"/>
          <w:i/>
          <w:color w:val="000000"/>
          <w:sz w:val="18"/>
          <w:szCs w:val="18"/>
        </w:rPr>
        <w:t>Keywords:</w:t>
      </w:r>
      <w:r w:rsidRPr="00805DEE">
        <w:rPr>
          <w:rFonts w:ascii="Tw Cen MT" w:eastAsia="Times New Roman" w:hAnsi="Tw Cen MT" w:cs="Times New Roman"/>
          <w:color w:val="000000"/>
          <w:sz w:val="18"/>
          <w:szCs w:val="18"/>
        </w:rPr>
        <w:t xml:space="preserve"> DEXA scan, </w:t>
      </w:r>
      <w:r w:rsidRPr="00805DEE">
        <w:rPr>
          <w:rFonts w:ascii="Tw Cen MT" w:eastAsia="Times New Roman" w:hAnsi="Tw Cen MT" w:cs="Times New Roman"/>
          <w:color w:val="000000"/>
          <w:sz w:val="18"/>
          <w:szCs w:val="18"/>
          <w:highlight w:val="white"/>
        </w:rPr>
        <w:t xml:space="preserve">ORAI, </w:t>
      </w:r>
      <w:r w:rsidRPr="00805DEE">
        <w:rPr>
          <w:rFonts w:ascii="Tw Cen MT" w:eastAsia="Times New Roman" w:hAnsi="Tw Cen MT" w:cs="Times New Roman"/>
          <w:color w:val="000000"/>
          <w:sz w:val="18"/>
          <w:szCs w:val="18"/>
        </w:rPr>
        <w:t xml:space="preserve">osteoporosis, </w:t>
      </w:r>
      <w:r w:rsidRPr="00805DEE">
        <w:rPr>
          <w:rFonts w:ascii="Tw Cen MT" w:eastAsia="Times New Roman" w:hAnsi="Tw Cen MT" w:cs="Times New Roman"/>
          <w:color w:val="000000"/>
          <w:sz w:val="18"/>
          <w:szCs w:val="18"/>
          <w:highlight w:val="white"/>
        </w:rPr>
        <w:t>osteopenia</w:t>
      </w:r>
      <w:r w:rsidRPr="00805DEE">
        <w:rPr>
          <w:rFonts w:ascii="Tw Cen MT" w:eastAsia="Times New Roman" w:hAnsi="Tw Cen MT" w:cs="Times New Roman"/>
          <w:color w:val="000000"/>
          <w:sz w:val="18"/>
          <w:szCs w:val="18"/>
        </w:rPr>
        <w:t>, referral, fracture, primary care setting</w:t>
      </w:r>
      <w:r>
        <w:rPr>
          <w:rFonts w:ascii="Tw Cen MT" w:eastAsia="Times New Roman" w:hAnsi="Tw Cen MT" w:cs="Times New Roman"/>
          <w:color w:val="000000"/>
          <w:sz w:val="18"/>
          <w:szCs w:val="18"/>
        </w:rPr>
        <w:t xml:space="preserve">. </w:t>
      </w:r>
    </w:p>
    <w:p w:rsidR="00805DEE" w:rsidRDefault="00805DEE" w:rsidP="00E409C2">
      <w:pPr>
        <w:pStyle w:val="normal0"/>
        <w:pBdr>
          <w:top w:val="nil"/>
          <w:left w:val="nil"/>
          <w:bottom w:val="nil"/>
          <w:right w:val="nil"/>
          <w:between w:val="nil"/>
        </w:pBdr>
        <w:spacing w:line="480" w:lineRule="auto"/>
        <w:rPr>
          <w:rFonts w:ascii="Tw Cen MT" w:eastAsia="Times New Roman" w:hAnsi="Tw Cen MT" w:cs="Times New Roman"/>
          <w:color w:val="000000"/>
          <w:sz w:val="18"/>
          <w:szCs w:val="18"/>
        </w:rPr>
      </w:pPr>
      <w:r>
        <w:rPr>
          <w:rFonts w:ascii="Tw Cen MT" w:eastAsia="Times New Roman" w:hAnsi="Tw Cen MT" w:cs="Times New Roman"/>
          <w:noProof/>
          <w:color w:val="000000"/>
          <w:sz w:val="18"/>
          <w:szCs w:val="1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margin-left:12.1pt;margin-top:12.7pt;width:215.3pt;height:141.75pt;z-index:251658240" fillcolor="#bbe0e3">
            <v:imagedata r:id="rId7" o:title=""/>
            <v:shadow color="black"/>
          </v:shape>
          <o:OLEObject Type="Embed" ProgID="Word.Document.12" ShapeID="_x0000_s1029" DrawAspect="Content" ObjectID="_1630393240" r:id="rId8">
            <o:FieldCodes>\s</o:FieldCodes>
          </o:OLEObject>
        </w:pict>
      </w:r>
    </w:p>
    <w:p w:rsidR="00805DEE" w:rsidRDefault="00805DEE" w:rsidP="00E409C2">
      <w:pPr>
        <w:pStyle w:val="normal0"/>
        <w:pBdr>
          <w:top w:val="nil"/>
          <w:left w:val="nil"/>
          <w:bottom w:val="nil"/>
          <w:right w:val="nil"/>
          <w:between w:val="nil"/>
        </w:pBdr>
        <w:spacing w:line="480" w:lineRule="auto"/>
        <w:rPr>
          <w:rFonts w:ascii="Tw Cen MT" w:eastAsia="Times New Roman" w:hAnsi="Tw Cen MT" w:cs="Times New Roman"/>
          <w:color w:val="000000"/>
          <w:sz w:val="18"/>
          <w:szCs w:val="18"/>
        </w:rPr>
      </w:pPr>
    </w:p>
    <w:p w:rsidR="00805DEE" w:rsidRDefault="00805DEE" w:rsidP="00E409C2">
      <w:pPr>
        <w:pStyle w:val="normal0"/>
        <w:pBdr>
          <w:top w:val="nil"/>
          <w:left w:val="nil"/>
          <w:bottom w:val="nil"/>
          <w:right w:val="nil"/>
          <w:between w:val="nil"/>
        </w:pBdr>
        <w:spacing w:line="480" w:lineRule="auto"/>
        <w:rPr>
          <w:rFonts w:ascii="Tw Cen MT" w:eastAsia="Times New Roman" w:hAnsi="Tw Cen MT" w:cs="Times New Roman"/>
          <w:color w:val="000000"/>
          <w:sz w:val="18"/>
          <w:szCs w:val="18"/>
        </w:rPr>
      </w:pPr>
    </w:p>
    <w:p w:rsidR="00805DEE" w:rsidRDefault="00805DEE" w:rsidP="00E409C2">
      <w:pPr>
        <w:pStyle w:val="normal0"/>
        <w:pBdr>
          <w:top w:val="nil"/>
          <w:left w:val="nil"/>
          <w:bottom w:val="nil"/>
          <w:right w:val="nil"/>
          <w:between w:val="nil"/>
        </w:pBdr>
        <w:spacing w:line="480" w:lineRule="auto"/>
        <w:rPr>
          <w:rFonts w:ascii="Tw Cen MT" w:eastAsia="Times New Roman" w:hAnsi="Tw Cen MT" w:cs="Times New Roman"/>
          <w:color w:val="000000"/>
          <w:sz w:val="18"/>
          <w:szCs w:val="18"/>
        </w:rPr>
      </w:pPr>
    </w:p>
    <w:p w:rsidR="00805DEE" w:rsidRDefault="00805DEE" w:rsidP="00E409C2">
      <w:pPr>
        <w:pStyle w:val="normal0"/>
        <w:pBdr>
          <w:top w:val="nil"/>
          <w:left w:val="nil"/>
          <w:bottom w:val="nil"/>
          <w:right w:val="nil"/>
          <w:between w:val="nil"/>
        </w:pBdr>
        <w:spacing w:line="480" w:lineRule="auto"/>
        <w:rPr>
          <w:rFonts w:ascii="Tw Cen MT" w:eastAsia="Times New Roman" w:hAnsi="Tw Cen MT" w:cs="Times New Roman"/>
          <w:color w:val="000000"/>
          <w:sz w:val="18"/>
          <w:szCs w:val="18"/>
        </w:rPr>
      </w:pPr>
    </w:p>
    <w:p w:rsidR="00805DEE" w:rsidRDefault="00805DEE" w:rsidP="00E409C2">
      <w:pPr>
        <w:pStyle w:val="normal0"/>
        <w:pBdr>
          <w:top w:val="nil"/>
          <w:left w:val="nil"/>
          <w:bottom w:val="nil"/>
          <w:right w:val="nil"/>
          <w:between w:val="nil"/>
        </w:pBdr>
        <w:spacing w:line="480" w:lineRule="auto"/>
        <w:rPr>
          <w:rFonts w:ascii="Tw Cen MT" w:eastAsia="Times New Roman" w:hAnsi="Tw Cen MT" w:cs="Times New Roman"/>
          <w:color w:val="000000"/>
          <w:sz w:val="18"/>
          <w:szCs w:val="18"/>
        </w:rPr>
      </w:pPr>
    </w:p>
    <w:p w:rsidR="00805DEE" w:rsidRDefault="00805DEE" w:rsidP="00E409C2">
      <w:pPr>
        <w:pStyle w:val="normal0"/>
        <w:pBdr>
          <w:top w:val="nil"/>
          <w:left w:val="nil"/>
          <w:bottom w:val="nil"/>
          <w:right w:val="nil"/>
          <w:between w:val="nil"/>
        </w:pBdr>
        <w:spacing w:line="480" w:lineRule="auto"/>
        <w:rPr>
          <w:rFonts w:ascii="Tw Cen MT" w:eastAsia="Times New Roman" w:hAnsi="Tw Cen MT" w:cs="Times New Roman"/>
          <w:color w:val="000000"/>
          <w:sz w:val="18"/>
          <w:szCs w:val="18"/>
        </w:rPr>
      </w:pPr>
    </w:p>
    <w:p w:rsidR="00805DEE" w:rsidRDefault="00805DEE" w:rsidP="00E409C2">
      <w:pPr>
        <w:pStyle w:val="normal0"/>
        <w:pBdr>
          <w:top w:val="nil"/>
          <w:left w:val="nil"/>
          <w:bottom w:val="nil"/>
          <w:right w:val="nil"/>
          <w:between w:val="nil"/>
        </w:pBdr>
        <w:spacing w:line="480" w:lineRule="auto"/>
        <w:rPr>
          <w:rFonts w:ascii="Tw Cen MT" w:eastAsia="Times New Roman" w:hAnsi="Tw Cen MT" w:cs="Times New Roman"/>
          <w:color w:val="000000"/>
          <w:sz w:val="18"/>
          <w:szCs w:val="18"/>
        </w:rPr>
      </w:pPr>
    </w:p>
    <w:p w:rsidR="00805DEE" w:rsidRDefault="00805DEE" w:rsidP="00805DEE">
      <w:pPr>
        <w:pStyle w:val="normal0"/>
        <w:pBdr>
          <w:top w:val="nil"/>
          <w:left w:val="nil"/>
          <w:bottom w:val="nil"/>
          <w:right w:val="nil"/>
          <w:between w:val="nil"/>
        </w:pBdr>
        <w:spacing w:line="480" w:lineRule="auto"/>
        <w:ind w:left="720"/>
        <w:rPr>
          <w:rFonts w:ascii="Tw Cen MT" w:eastAsia="Times New Roman" w:hAnsi="Tw Cen MT" w:cs="Times New Roman"/>
          <w:color w:val="000000"/>
          <w:sz w:val="18"/>
          <w:szCs w:val="18"/>
        </w:rPr>
      </w:pPr>
    </w:p>
    <w:p w:rsidR="00000000" w:rsidRPr="00805DEE" w:rsidRDefault="00805DEE" w:rsidP="00805DEE">
      <w:pPr>
        <w:pStyle w:val="normal0"/>
        <w:pBdr>
          <w:top w:val="nil"/>
          <w:left w:val="nil"/>
          <w:bottom w:val="nil"/>
          <w:right w:val="nil"/>
          <w:between w:val="nil"/>
        </w:pBdr>
        <w:spacing w:line="480" w:lineRule="auto"/>
        <w:ind w:left="720"/>
        <w:rPr>
          <w:rFonts w:ascii="Tw Cen MT" w:eastAsia="Times New Roman" w:hAnsi="Tw Cen MT" w:cs="Times New Roman"/>
          <w:color w:val="000000"/>
          <w:sz w:val="18"/>
          <w:szCs w:val="18"/>
        </w:rPr>
      </w:pPr>
      <w:r>
        <w:rPr>
          <w:rFonts w:ascii="Tw Cen MT" w:eastAsia="Times New Roman" w:hAnsi="Tw Cen MT" w:cs="Times New Roman"/>
          <w:color w:val="000000"/>
          <w:sz w:val="18"/>
          <w:szCs w:val="18"/>
        </w:rPr>
        <w:t>ORAI c</w:t>
      </w:r>
      <w:r w:rsidR="00EC56A5" w:rsidRPr="00805DEE">
        <w:rPr>
          <w:rFonts w:ascii="Tw Cen MT" w:eastAsia="Times New Roman" w:hAnsi="Tw Cen MT" w:cs="Times New Roman"/>
          <w:color w:val="000000"/>
          <w:sz w:val="18"/>
          <w:szCs w:val="18"/>
        </w:rPr>
        <w:t>reated by Dr. Jeffery Kempf, MD.</w:t>
      </w:r>
      <w:r w:rsidR="00EC56A5" w:rsidRPr="00805DEE">
        <w:rPr>
          <w:rFonts w:ascii="Tw Cen MT" w:eastAsia="Times New Roman" w:hAnsi="Tw Cen MT" w:cs="Times New Roman"/>
          <w:color w:val="000000"/>
          <w:sz w:val="18"/>
          <w:szCs w:val="18"/>
        </w:rPr>
        <w:t xml:space="preserve"> </w:t>
      </w:r>
    </w:p>
    <w:p w:rsidR="00805DEE" w:rsidRPr="00805DEE" w:rsidRDefault="00EC56A5" w:rsidP="00E409C2">
      <w:pPr>
        <w:pStyle w:val="normal0"/>
        <w:numPr>
          <w:ilvl w:val="0"/>
          <w:numId w:val="1"/>
        </w:numPr>
        <w:pBdr>
          <w:top w:val="nil"/>
          <w:left w:val="nil"/>
          <w:bottom w:val="nil"/>
          <w:right w:val="nil"/>
          <w:between w:val="nil"/>
        </w:pBdr>
        <w:spacing w:line="480" w:lineRule="auto"/>
        <w:rPr>
          <w:rFonts w:ascii="Tw Cen MT" w:eastAsia="Times New Roman" w:hAnsi="Tw Cen MT" w:cs="Times New Roman"/>
          <w:color w:val="000000"/>
          <w:sz w:val="18"/>
          <w:szCs w:val="18"/>
        </w:rPr>
      </w:pPr>
      <w:r w:rsidRPr="00805DEE">
        <w:rPr>
          <w:rFonts w:ascii="Tw Cen MT" w:eastAsia="Times New Roman" w:hAnsi="Tw Cen MT" w:cs="Times New Roman"/>
          <w:color w:val="000000"/>
          <w:sz w:val="18"/>
          <w:szCs w:val="18"/>
        </w:rPr>
        <w:t>15 questions divided in</w:t>
      </w:r>
      <w:r w:rsidRPr="00805DEE">
        <w:rPr>
          <w:rFonts w:ascii="Tw Cen MT" w:eastAsia="Times New Roman" w:hAnsi="Tw Cen MT" w:cs="Times New Roman"/>
          <w:color w:val="000000"/>
          <w:sz w:val="18"/>
          <w:szCs w:val="18"/>
        </w:rPr>
        <w:t>to 3 sections.</w:t>
      </w:r>
      <w:r w:rsidRPr="00805DEE">
        <w:rPr>
          <w:rFonts w:ascii="Tw Cen MT" w:eastAsia="Times New Roman" w:hAnsi="Tw Cen MT" w:cs="Times New Roman"/>
          <w:color w:val="000000"/>
          <w:sz w:val="18"/>
          <w:szCs w:val="18"/>
        </w:rPr>
        <w:t xml:space="preserve"> </w:t>
      </w:r>
    </w:p>
    <w:p w:rsidR="00805DEE" w:rsidRDefault="00805DEE" w:rsidP="00E409C2">
      <w:pPr>
        <w:pStyle w:val="normal0"/>
        <w:pBdr>
          <w:top w:val="nil"/>
          <w:left w:val="nil"/>
          <w:bottom w:val="nil"/>
          <w:right w:val="nil"/>
          <w:between w:val="nil"/>
        </w:pBdr>
        <w:spacing w:line="480" w:lineRule="auto"/>
        <w:rPr>
          <w:rFonts w:ascii="Tw Cen MT" w:eastAsia="Times New Roman" w:hAnsi="Tw Cen MT" w:cs="Times New Roman"/>
          <w:color w:val="000000"/>
          <w:sz w:val="18"/>
          <w:szCs w:val="18"/>
        </w:rPr>
      </w:pPr>
      <w:r>
        <w:rPr>
          <w:rFonts w:ascii="Tw Cen MT" w:eastAsia="Times New Roman" w:hAnsi="Tw Cen MT" w:cs="Times New Roman"/>
          <w:color w:val="000000"/>
          <w:sz w:val="18"/>
          <w:szCs w:val="18"/>
        </w:rPr>
        <w:t xml:space="preserve">References </w:t>
      </w:r>
    </w:p>
    <w:p w:rsidR="00805DEE" w:rsidRPr="00805DEE" w:rsidRDefault="00805DEE" w:rsidP="00805DEE">
      <w:pPr>
        <w:pStyle w:val="normal0"/>
        <w:pBdr>
          <w:top w:val="nil"/>
          <w:left w:val="nil"/>
          <w:bottom w:val="nil"/>
          <w:right w:val="nil"/>
          <w:between w:val="nil"/>
        </w:pBdr>
        <w:spacing w:line="240" w:lineRule="atLeast"/>
        <w:ind w:left="-288"/>
        <w:jc w:val="center"/>
        <w:rPr>
          <w:rFonts w:ascii="Tw Cen MT" w:eastAsia="Times New Roman" w:hAnsi="Tw Cen MT" w:cs="Times New Roman"/>
          <w:color w:val="000000"/>
          <w:sz w:val="16"/>
          <w:szCs w:val="16"/>
        </w:rPr>
      </w:pPr>
      <w:r w:rsidRPr="00805DEE">
        <w:rPr>
          <w:rFonts w:ascii="Tw Cen MT" w:eastAsia="Times New Roman" w:hAnsi="Tw Cen MT" w:cs="Times New Roman"/>
          <w:color w:val="000000"/>
          <w:sz w:val="16"/>
          <w:szCs w:val="16"/>
        </w:rPr>
        <w:t>References</w:t>
      </w:r>
    </w:p>
    <w:p w:rsidR="00805DEE" w:rsidRPr="00805DEE" w:rsidRDefault="00805DEE" w:rsidP="00805DEE">
      <w:pPr>
        <w:pStyle w:val="normal0"/>
        <w:pBdr>
          <w:top w:val="nil"/>
          <w:left w:val="nil"/>
          <w:bottom w:val="nil"/>
          <w:right w:val="nil"/>
          <w:between w:val="nil"/>
        </w:pBdr>
        <w:spacing w:line="240" w:lineRule="atLeast"/>
        <w:ind w:left="-288"/>
        <w:rPr>
          <w:rFonts w:ascii="Tw Cen MT" w:eastAsia="Times New Roman" w:hAnsi="Tw Cen MT" w:cs="Times New Roman"/>
          <w:color w:val="000000"/>
          <w:sz w:val="16"/>
          <w:szCs w:val="16"/>
        </w:rPr>
      </w:pPr>
      <w:r>
        <w:rPr>
          <w:rFonts w:ascii="Tw Cen MT" w:eastAsia="Times New Roman" w:hAnsi="Tw Cen MT" w:cs="Times New Roman"/>
          <w:color w:val="000000"/>
          <w:sz w:val="16"/>
          <w:szCs w:val="16"/>
        </w:rPr>
        <w:t>1.</w:t>
      </w:r>
      <w:r w:rsidRPr="00805DEE">
        <w:rPr>
          <w:rFonts w:ascii="Tw Cen MT" w:eastAsia="Times New Roman" w:hAnsi="Tw Cen MT" w:cs="Times New Roman"/>
          <w:color w:val="000000"/>
          <w:sz w:val="16"/>
          <w:szCs w:val="16"/>
        </w:rPr>
        <w:t>Amarnath, A.L.D., Franks, P., Robbins, J. A., Xing, G., &amp; Fenton, J. J. (2015). Underuse and Overuse of Osteoporosis Screening in a Regional Health System: A Retrospective Cohort Study. Journal of General Internal Medicine, 30(12), 1733–1740.</w:t>
      </w:r>
      <w:r w:rsidRPr="00805DEE">
        <w:rPr>
          <w:rFonts w:ascii="Tw Cen MT" w:hAnsi="Tw Cen MT"/>
          <w:sz w:val="16"/>
          <w:szCs w:val="16"/>
        </w:rPr>
        <w:fldChar w:fldCharType="begin"/>
      </w:r>
      <w:r w:rsidRPr="00805DEE">
        <w:rPr>
          <w:rFonts w:ascii="Tw Cen MT" w:hAnsi="Tw Cen MT"/>
          <w:sz w:val="16"/>
          <w:szCs w:val="16"/>
        </w:rPr>
        <w:instrText xml:space="preserve"> HYPERLINK "http://doi.org/10.1007/s11606-015-3349-8" </w:instrText>
      </w:r>
      <w:r w:rsidRPr="00805DEE">
        <w:rPr>
          <w:rFonts w:ascii="Tw Cen MT" w:hAnsi="Tw Cen MT"/>
          <w:sz w:val="16"/>
          <w:szCs w:val="16"/>
        </w:rPr>
        <w:fldChar w:fldCharType="separate"/>
      </w:r>
      <w:r w:rsidRPr="00805DEE">
        <w:rPr>
          <w:rFonts w:ascii="Tw Cen MT" w:eastAsia="Times New Roman" w:hAnsi="Tw Cen MT" w:cs="Times New Roman"/>
          <w:color w:val="000000"/>
          <w:sz w:val="16"/>
          <w:szCs w:val="16"/>
        </w:rPr>
        <w:t>http://doi.org/10.1007/ s11606-015-3349-8</w:t>
      </w:r>
    </w:p>
    <w:p w:rsidR="00805DEE" w:rsidRPr="00805DEE" w:rsidRDefault="00805DEE" w:rsidP="00805DEE">
      <w:pPr>
        <w:pStyle w:val="normal0"/>
        <w:pBdr>
          <w:top w:val="nil"/>
          <w:left w:val="nil"/>
          <w:bottom w:val="nil"/>
          <w:right w:val="nil"/>
          <w:between w:val="nil"/>
        </w:pBdr>
        <w:spacing w:line="240" w:lineRule="atLeast"/>
        <w:ind w:left="-288"/>
        <w:rPr>
          <w:rFonts w:ascii="Tw Cen MT" w:eastAsia="Times New Roman" w:hAnsi="Tw Cen MT" w:cs="Times New Roman"/>
          <w:color w:val="000000"/>
          <w:sz w:val="16"/>
          <w:szCs w:val="16"/>
        </w:rPr>
      </w:pPr>
      <w:r w:rsidRPr="00805DEE">
        <w:rPr>
          <w:rFonts w:ascii="Tw Cen MT" w:hAnsi="Tw Cen MT"/>
          <w:sz w:val="16"/>
          <w:szCs w:val="16"/>
        </w:rPr>
        <w:fldChar w:fldCharType="end"/>
      </w:r>
      <w:r>
        <w:rPr>
          <w:rFonts w:ascii="Tw Cen MT" w:hAnsi="Tw Cen MT"/>
          <w:sz w:val="16"/>
          <w:szCs w:val="16"/>
        </w:rPr>
        <w:t xml:space="preserve">2. </w:t>
      </w:r>
      <w:r w:rsidRPr="00805DEE">
        <w:rPr>
          <w:rFonts w:ascii="Tw Cen MT" w:eastAsia="Times New Roman" w:hAnsi="Tw Cen MT" w:cs="Times New Roman"/>
          <w:color w:val="000000"/>
          <w:sz w:val="16"/>
          <w:szCs w:val="16"/>
        </w:rPr>
        <w:t>Bansal, S., Pecina, J. L., Merry, S. P., Kennel, K. A., Maxson, J., Quigg, S., &amp; Thacher, T. D. (2015). US Preventive Services Task Force FRAX threshold has a low sensitivity to detect osteoporosis in women ages 50–64 years. Osteoporosis International, 26(4), 1429-1433.</w:t>
      </w:r>
    </w:p>
    <w:p w:rsidR="00805DEE" w:rsidRPr="00805DEE" w:rsidRDefault="00805DEE" w:rsidP="00805DEE">
      <w:pPr>
        <w:pStyle w:val="normal0"/>
        <w:pBdr>
          <w:top w:val="nil"/>
          <w:left w:val="nil"/>
          <w:bottom w:val="nil"/>
          <w:right w:val="nil"/>
          <w:between w:val="nil"/>
        </w:pBdr>
        <w:spacing w:line="240" w:lineRule="atLeast"/>
        <w:ind w:left="-288"/>
        <w:rPr>
          <w:rFonts w:ascii="Tw Cen MT" w:eastAsia="Times New Roman" w:hAnsi="Tw Cen MT" w:cs="Times New Roman"/>
          <w:color w:val="000000"/>
          <w:sz w:val="16"/>
          <w:szCs w:val="16"/>
        </w:rPr>
      </w:pPr>
      <w:r>
        <w:rPr>
          <w:rFonts w:ascii="Tw Cen MT" w:eastAsia="Times New Roman" w:hAnsi="Tw Cen MT" w:cs="Times New Roman"/>
          <w:color w:val="000000"/>
          <w:sz w:val="16"/>
          <w:szCs w:val="16"/>
          <w:highlight w:val="white"/>
        </w:rPr>
        <w:t>3.</w:t>
      </w:r>
      <w:r w:rsidRPr="00805DEE">
        <w:rPr>
          <w:rFonts w:ascii="Tw Cen MT" w:eastAsia="Times New Roman" w:hAnsi="Tw Cen MT" w:cs="Times New Roman"/>
          <w:color w:val="000000"/>
          <w:sz w:val="16"/>
          <w:szCs w:val="16"/>
          <w:highlight w:val="white"/>
        </w:rPr>
        <w:t>Bredella, M. A., Ghomi, R. H., Thomas, B. J., Torriani, M., Brick, D. J., Gerweck, A. V., Misra, M., Klibanski, A., … Miller, K. K. (2010). Comparison of DXA and CT in the assessment of body composition in premenopausal women with obesity and anorexia nervosa. Retrieved from https://www.ncbi.nlm.nih.gov/pmc/articles/PMC3607308/</w:t>
      </w:r>
    </w:p>
    <w:p w:rsidR="00805DEE" w:rsidRPr="00805DEE" w:rsidRDefault="00805DEE" w:rsidP="00805DEE">
      <w:pPr>
        <w:pStyle w:val="normal0"/>
        <w:pBdr>
          <w:top w:val="nil"/>
          <w:left w:val="nil"/>
          <w:bottom w:val="nil"/>
          <w:right w:val="nil"/>
          <w:between w:val="nil"/>
        </w:pBdr>
        <w:spacing w:line="240" w:lineRule="atLeast"/>
        <w:ind w:left="-288"/>
        <w:rPr>
          <w:rFonts w:ascii="Tw Cen MT" w:eastAsia="Times New Roman" w:hAnsi="Tw Cen MT" w:cs="Times New Roman"/>
          <w:color w:val="000000"/>
          <w:sz w:val="16"/>
          <w:szCs w:val="16"/>
        </w:rPr>
      </w:pPr>
      <w:r>
        <w:rPr>
          <w:rFonts w:ascii="Tw Cen MT" w:eastAsia="Times New Roman" w:hAnsi="Tw Cen MT" w:cs="Times New Roman"/>
          <w:color w:val="000000"/>
          <w:sz w:val="16"/>
          <w:szCs w:val="16"/>
        </w:rPr>
        <w:lastRenderedPageBreak/>
        <w:t>4.</w:t>
      </w:r>
      <w:r w:rsidRPr="00805DEE">
        <w:rPr>
          <w:rFonts w:ascii="Tw Cen MT" w:eastAsia="Times New Roman" w:hAnsi="Tw Cen MT" w:cs="Times New Roman"/>
          <w:color w:val="000000"/>
          <w:sz w:val="16"/>
          <w:szCs w:val="16"/>
        </w:rPr>
        <w:t>Camacho, P. M., Petak, S. M., Binkley, N., Clarke, B. L., Harris, S. T., Hurley, D. L., &amp; Pessah-Pollack, R. (2016). American Association of Clinical Endocrinologists and American College of Endocrinology Clinical Practice guidelines for the diagnosis and treatment of postmenopausal osteoporosis 2016.Endocrine Practice, 22(4), 1-42.</w:t>
      </w:r>
    </w:p>
    <w:p w:rsidR="00805DEE" w:rsidRPr="00805DEE" w:rsidRDefault="00805DEE" w:rsidP="00805DEE">
      <w:pPr>
        <w:pStyle w:val="normal0"/>
        <w:pBdr>
          <w:top w:val="nil"/>
          <w:left w:val="nil"/>
          <w:bottom w:val="nil"/>
          <w:right w:val="nil"/>
          <w:between w:val="nil"/>
        </w:pBdr>
        <w:spacing w:line="240" w:lineRule="atLeast"/>
        <w:ind w:left="-288"/>
        <w:rPr>
          <w:rFonts w:ascii="Tw Cen MT" w:eastAsia="Times New Roman" w:hAnsi="Tw Cen MT" w:cs="Times New Roman"/>
          <w:color w:val="000000"/>
          <w:sz w:val="16"/>
          <w:szCs w:val="16"/>
        </w:rPr>
      </w:pPr>
      <w:r>
        <w:rPr>
          <w:rFonts w:ascii="Tw Cen MT" w:eastAsia="Times New Roman" w:hAnsi="Tw Cen MT" w:cs="Times New Roman"/>
          <w:color w:val="000000"/>
          <w:sz w:val="16"/>
          <w:szCs w:val="16"/>
        </w:rPr>
        <w:t>5.</w:t>
      </w:r>
      <w:r w:rsidRPr="00805DEE">
        <w:rPr>
          <w:rFonts w:ascii="Tw Cen MT" w:eastAsia="Times New Roman" w:hAnsi="Tw Cen MT" w:cs="Times New Roman"/>
          <w:color w:val="000000"/>
          <w:sz w:val="16"/>
          <w:szCs w:val="16"/>
        </w:rPr>
        <w:t xml:space="preserve">Cleveland Clinic. (2018). MENtion it survey. Retrieved from </w:t>
      </w:r>
      <w:hyperlink r:id="rId9">
        <w:r w:rsidRPr="00805DEE">
          <w:rPr>
            <w:rFonts w:ascii="Tw Cen MT" w:eastAsia="Times New Roman" w:hAnsi="Tw Cen MT" w:cs="Times New Roman"/>
            <w:color w:val="000000"/>
            <w:sz w:val="16"/>
            <w:szCs w:val="16"/>
          </w:rPr>
          <w:t>https://newsroom. clevelandclinic.org/wp-content/uploads/sites/4/2018/08/Cleveland-Clinic-MENtion-It-Survey-Results-2018.pdf</w:t>
        </w:r>
      </w:hyperlink>
    </w:p>
    <w:p w:rsidR="00805DEE" w:rsidRPr="00805DEE" w:rsidRDefault="00805DEE" w:rsidP="00805DEE">
      <w:pPr>
        <w:pStyle w:val="normal0"/>
        <w:pBdr>
          <w:top w:val="nil"/>
          <w:left w:val="nil"/>
          <w:bottom w:val="nil"/>
          <w:right w:val="nil"/>
          <w:between w:val="nil"/>
        </w:pBdr>
        <w:spacing w:line="240" w:lineRule="atLeast"/>
        <w:ind w:left="-288"/>
        <w:rPr>
          <w:rFonts w:ascii="Tw Cen MT" w:eastAsia="Times New Roman" w:hAnsi="Tw Cen MT" w:cs="Times New Roman"/>
          <w:color w:val="000000"/>
          <w:sz w:val="16"/>
          <w:szCs w:val="16"/>
        </w:rPr>
      </w:pPr>
      <w:r>
        <w:rPr>
          <w:rFonts w:ascii="Tw Cen MT" w:eastAsia="Times New Roman" w:hAnsi="Tw Cen MT" w:cs="Times New Roman"/>
          <w:color w:val="000000"/>
          <w:sz w:val="16"/>
          <w:szCs w:val="16"/>
        </w:rPr>
        <w:t>6.</w:t>
      </w:r>
      <w:r w:rsidRPr="00805DEE">
        <w:rPr>
          <w:rFonts w:ascii="Tw Cen MT" w:eastAsia="Times New Roman" w:hAnsi="Tw Cen MT" w:cs="Times New Roman"/>
          <w:color w:val="000000"/>
          <w:sz w:val="16"/>
          <w:szCs w:val="16"/>
        </w:rPr>
        <w:t>Gillespie, C. W., &amp; Morin, P. E. (2017). Trends and disparities in osteoporosis screening among women in the United States, 2008-2014.American Journal of Medicine, 130(3), 306-316.</w:t>
      </w:r>
    </w:p>
    <w:p w:rsidR="00805DEE" w:rsidRPr="00805DEE" w:rsidRDefault="00805DEE" w:rsidP="00805DEE">
      <w:pPr>
        <w:pStyle w:val="normal0"/>
        <w:pBdr>
          <w:top w:val="nil"/>
          <w:left w:val="nil"/>
          <w:bottom w:val="nil"/>
          <w:right w:val="nil"/>
          <w:between w:val="nil"/>
        </w:pBdr>
        <w:spacing w:line="240" w:lineRule="atLeast"/>
        <w:ind w:left="-288"/>
        <w:rPr>
          <w:rFonts w:ascii="Tw Cen MT" w:eastAsia="Times New Roman" w:hAnsi="Tw Cen MT" w:cs="Times New Roman"/>
          <w:color w:val="000000"/>
          <w:sz w:val="16"/>
          <w:szCs w:val="16"/>
        </w:rPr>
      </w:pPr>
      <w:r>
        <w:rPr>
          <w:rFonts w:ascii="Tw Cen MT" w:eastAsia="Times New Roman" w:hAnsi="Tw Cen MT" w:cs="Times New Roman"/>
          <w:color w:val="000000"/>
          <w:sz w:val="16"/>
          <w:szCs w:val="16"/>
        </w:rPr>
        <w:t>7.</w:t>
      </w:r>
      <w:r w:rsidRPr="00805DEE">
        <w:rPr>
          <w:rFonts w:ascii="Tw Cen MT" w:eastAsia="Times New Roman" w:hAnsi="Tw Cen MT" w:cs="Times New Roman"/>
          <w:color w:val="000000"/>
          <w:sz w:val="16"/>
          <w:szCs w:val="16"/>
        </w:rPr>
        <w:t>Hersher, R.(2016). Mummified Egyptian was just as sedentary and carb-hungry as modern men. Retrieved from: https://www.npr.org/sections/thetwo-way/2016/07/26/487505 112/mummified-egyptian-was-just-as-sedentary-and-carb-hungry-as-modern-men</w:t>
      </w:r>
    </w:p>
    <w:p w:rsidR="00805DEE" w:rsidRPr="00805DEE" w:rsidRDefault="00805DEE" w:rsidP="00805DEE">
      <w:pPr>
        <w:pStyle w:val="normal0"/>
        <w:pBdr>
          <w:top w:val="nil"/>
          <w:left w:val="nil"/>
          <w:bottom w:val="nil"/>
          <w:right w:val="nil"/>
          <w:between w:val="nil"/>
        </w:pBdr>
        <w:spacing w:line="240" w:lineRule="atLeast"/>
        <w:ind w:left="-288"/>
        <w:rPr>
          <w:rFonts w:ascii="Tw Cen MT" w:eastAsia="Times New Roman" w:hAnsi="Tw Cen MT" w:cs="Times New Roman"/>
          <w:color w:val="000000"/>
          <w:sz w:val="16"/>
          <w:szCs w:val="16"/>
        </w:rPr>
      </w:pPr>
      <w:r>
        <w:rPr>
          <w:rFonts w:ascii="Tw Cen MT" w:eastAsia="Times New Roman" w:hAnsi="Tw Cen MT" w:cs="Times New Roman"/>
          <w:color w:val="000000"/>
          <w:sz w:val="16"/>
          <w:szCs w:val="16"/>
          <w:highlight w:val="white"/>
        </w:rPr>
        <w:t>8.</w:t>
      </w:r>
      <w:r w:rsidRPr="00805DEE">
        <w:rPr>
          <w:rFonts w:ascii="Tw Cen MT" w:eastAsia="Times New Roman" w:hAnsi="Tw Cen MT" w:cs="Times New Roman"/>
          <w:color w:val="000000"/>
          <w:sz w:val="16"/>
          <w:szCs w:val="16"/>
          <w:highlight w:val="white"/>
        </w:rPr>
        <w:t>Hurtado, I., Sanfélix-Gimeno, G., Baixauli-Pérez, C., Peiró, S., &amp;Sanfélix-Genovés, J. (2014). Impact on the population of different bone mineral density testing criteria and appropriateness of densitometries in the ESOSVAL cohort, Spain. The Journal of Clinical Endocrinology &amp; Metabolism, 99(1), 142-150.</w:t>
      </w:r>
    </w:p>
    <w:p w:rsidR="00805DEE" w:rsidRPr="00805DEE" w:rsidRDefault="00805DEE" w:rsidP="00805DEE">
      <w:pPr>
        <w:pStyle w:val="normal0"/>
        <w:pBdr>
          <w:top w:val="nil"/>
          <w:left w:val="nil"/>
          <w:bottom w:val="nil"/>
          <w:right w:val="nil"/>
          <w:between w:val="nil"/>
        </w:pBdr>
        <w:spacing w:line="240" w:lineRule="atLeast"/>
        <w:ind w:left="-288"/>
        <w:rPr>
          <w:rFonts w:ascii="Tw Cen MT" w:eastAsia="Times New Roman" w:hAnsi="Tw Cen MT" w:cs="Times New Roman"/>
          <w:color w:val="000000"/>
          <w:sz w:val="16"/>
          <w:szCs w:val="16"/>
        </w:rPr>
      </w:pPr>
      <w:r>
        <w:rPr>
          <w:rFonts w:ascii="Tw Cen MT" w:eastAsia="Times New Roman" w:hAnsi="Tw Cen MT" w:cs="Times New Roman"/>
          <w:color w:val="000000"/>
          <w:sz w:val="16"/>
          <w:szCs w:val="16"/>
        </w:rPr>
        <w:t>9.</w:t>
      </w:r>
      <w:r w:rsidRPr="00805DEE">
        <w:rPr>
          <w:rFonts w:ascii="Tw Cen MT" w:eastAsia="Times New Roman" w:hAnsi="Tw Cen MT" w:cs="Times New Roman"/>
          <w:color w:val="000000"/>
          <w:sz w:val="16"/>
          <w:szCs w:val="16"/>
        </w:rPr>
        <w:t>International Osteoporosis Foundation [IOF]. (2018). Secondary osteoporosis. Retrieved from https://www.iofbonehealth.org/secondary-osteoporosis.</w:t>
      </w:r>
    </w:p>
    <w:p w:rsidR="00805DEE" w:rsidRPr="00805DEE" w:rsidRDefault="00805DEE" w:rsidP="00805DEE">
      <w:pPr>
        <w:pStyle w:val="normal0"/>
        <w:pBdr>
          <w:top w:val="nil"/>
          <w:left w:val="nil"/>
          <w:bottom w:val="nil"/>
          <w:right w:val="nil"/>
          <w:between w:val="nil"/>
        </w:pBdr>
        <w:spacing w:line="240" w:lineRule="atLeast"/>
        <w:ind w:left="-288"/>
        <w:rPr>
          <w:rFonts w:ascii="Tw Cen MT" w:eastAsia="Times New Roman" w:hAnsi="Tw Cen MT" w:cs="Times New Roman"/>
          <w:color w:val="000000"/>
          <w:sz w:val="16"/>
          <w:szCs w:val="16"/>
        </w:rPr>
      </w:pPr>
      <w:r>
        <w:rPr>
          <w:rFonts w:ascii="Tw Cen MT" w:eastAsia="Times New Roman" w:hAnsi="Tw Cen MT" w:cs="Times New Roman"/>
          <w:color w:val="000000"/>
          <w:sz w:val="16"/>
          <w:szCs w:val="16"/>
          <w:highlight w:val="white"/>
        </w:rPr>
        <w:t>10.</w:t>
      </w:r>
      <w:r w:rsidRPr="00805DEE">
        <w:rPr>
          <w:rFonts w:ascii="Tw Cen MT" w:eastAsia="Times New Roman" w:hAnsi="Tw Cen MT" w:cs="Times New Roman"/>
          <w:color w:val="000000"/>
          <w:sz w:val="16"/>
          <w:szCs w:val="16"/>
          <w:highlight w:val="white"/>
        </w:rPr>
        <w:t>Jaglal, S., Hawker, G., Croxford, R., Cameron, C., Schott, A. M., Munce, S., &amp; Allin, S. (2014). Impact of a change in physician reimbursement on bone mineral density testing in Ontario, Canada: A population-based study. CMAJ open, 2(2), E45-50.doi:10.9778/cmajo.2013-0052</w:t>
      </w:r>
    </w:p>
    <w:p w:rsidR="00805DEE" w:rsidRPr="00805DEE" w:rsidRDefault="00805DEE" w:rsidP="00805DEE">
      <w:pPr>
        <w:pStyle w:val="normal0"/>
        <w:pBdr>
          <w:top w:val="nil"/>
          <w:left w:val="nil"/>
          <w:bottom w:val="nil"/>
          <w:right w:val="nil"/>
          <w:between w:val="nil"/>
        </w:pBdr>
        <w:spacing w:line="240" w:lineRule="atLeast"/>
        <w:ind w:left="-288"/>
        <w:rPr>
          <w:rFonts w:ascii="Tw Cen MT" w:eastAsia="Times New Roman" w:hAnsi="Tw Cen MT" w:cs="Times New Roman"/>
          <w:color w:val="000000"/>
          <w:sz w:val="16"/>
          <w:szCs w:val="16"/>
        </w:rPr>
      </w:pPr>
      <w:r>
        <w:rPr>
          <w:rFonts w:ascii="Tw Cen MT" w:eastAsia="Times New Roman" w:hAnsi="Tw Cen MT" w:cs="Times New Roman"/>
          <w:color w:val="000000"/>
          <w:sz w:val="16"/>
          <w:szCs w:val="16"/>
        </w:rPr>
        <w:t>11.</w:t>
      </w:r>
      <w:r w:rsidRPr="00805DEE">
        <w:rPr>
          <w:rFonts w:ascii="Tw Cen MT" w:eastAsia="Times New Roman" w:hAnsi="Tw Cen MT" w:cs="Times New Roman"/>
          <w:color w:val="000000"/>
          <w:sz w:val="16"/>
          <w:szCs w:val="16"/>
        </w:rPr>
        <w:t>Kempf, S.J. (n.d.). Are you at risk for osteoporosis? Take this quiz and find out. Retrieved from https://www.universityradiology.com/pdf/dxa_quiz.pdf</w:t>
      </w:r>
    </w:p>
    <w:p w:rsidR="00805DEE" w:rsidRPr="00805DEE" w:rsidRDefault="00805DEE" w:rsidP="00805DEE">
      <w:pPr>
        <w:pStyle w:val="normal0"/>
        <w:pBdr>
          <w:top w:val="nil"/>
          <w:left w:val="nil"/>
          <w:bottom w:val="nil"/>
          <w:right w:val="nil"/>
          <w:between w:val="nil"/>
        </w:pBdr>
        <w:spacing w:line="240" w:lineRule="atLeast"/>
        <w:ind w:left="-288"/>
        <w:rPr>
          <w:rFonts w:ascii="Tw Cen MT" w:eastAsia="Times New Roman" w:hAnsi="Tw Cen MT" w:cs="Times New Roman"/>
          <w:color w:val="000000"/>
          <w:sz w:val="16"/>
          <w:szCs w:val="16"/>
        </w:rPr>
      </w:pPr>
      <w:r>
        <w:rPr>
          <w:rFonts w:ascii="Tw Cen MT" w:eastAsia="Times New Roman" w:hAnsi="Tw Cen MT" w:cs="Times New Roman"/>
          <w:color w:val="000000"/>
          <w:sz w:val="16"/>
          <w:szCs w:val="16"/>
          <w:highlight w:val="white"/>
        </w:rPr>
        <w:t>12.</w:t>
      </w:r>
      <w:r w:rsidRPr="00805DEE">
        <w:rPr>
          <w:rFonts w:ascii="Tw Cen MT" w:eastAsia="Times New Roman" w:hAnsi="Tw Cen MT" w:cs="Times New Roman"/>
          <w:color w:val="000000"/>
          <w:sz w:val="16"/>
          <w:szCs w:val="16"/>
          <w:highlight w:val="white"/>
        </w:rPr>
        <w:t>Kanis, J. A., McCloskey, E. V., Johansson, H., Cooper, C., Rizzoli, R., &amp; Reginster, J. Y. (2013). European guidance for the diagnosis and management of osteoporosis in postmenopausal women. Osteoporosis International, 24(1), 23-57.</w:t>
      </w:r>
    </w:p>
    <w:p w:rsidR="00805DEE" w:rsidRPr="00805DEE" w:rsidRDefault="00805DEE" w:rsidP="00805DEE">
      <w:pPr>
        <w:pStyle w:val="normal0"/>
        <w:pBdr>
          <w:top w:val="nil"/>
          <w:left w:val="nil"/>
          <w:bottom w:val="nil"/>
          <w:right w:val="nil"/>
          <w:between w:val="nil"/>
        </w:pBdr>
        <w:spacing w:line="240" w:lineRule="atLeast"/>
        <w:ind w:left="-288"/>
        <w:rPr>
          <w:rFonts w:ascii="Tw Cen MT" w:eastAsia="Times New Roman" w:hAnsi="Tw Cen MT" w:cs="Times New Roman"/>
          <w:color w:val="000000"/>
          <w:sz w:val="16"/>
          <w:szCs w:val="16"/>
        </w:rPr>
      </w:pPr>
      <w:r>
        <w:rPr>
          <w:rFonts w:ascii="Tw Cen MT" w:eastAsia="Times New Roman" w:hAnsi="Tw Cen MT" w:cs="Times New Roman"/>
          <w:color w:val="000000"/>
          <w:sz w:val="16"/>
          <w:szCs w:val="16"/>
        </w:rPr>
        <w:t>13.</w:t>
      </w:r>
      <w:r w:rsidRPr="00805DEE">
        <w:rPr>
          <w:rFonts w:ascii="Tw Cen MT" w:eastAsia="Times New Roman" w:hAnsi="Tw Cen MT" w:cs="Times New Roman"/>
          <w:color w:val="000000"/>
          <w:sz w:val="16"/>
          <w:szCs w:val="16"/>
        </w:rPr>
        <w:t>Kastner, M., Sawka, A. M., Hamid, J., Chen, M., Thorpe, K., Chignell, M., &amp; Straus, S. E. (2014). A knowledge translation tool improved osteoporosis disease management in primary care: An interrupted time series analysis. Implementation Science, 9(1), 109.</w:t>
      </w:r>
    </w:p>
    <w:p w:rsidR="00805DEE" w:rsidRPr="00805DEE" w:rsidRDefault="00805DEE" w:rsidP="00805DEE">
      <w:pPr>
        <w:pStyle w:val="normal0"/>
        <w:pBdr>
          <w:top w:val="nil"/>
          <w:left w:val="nil"/>
          <w:bottom w:val="nil"/>
          <w:right w:val="nil"/>
          <w:between w:val="nil"/>
        </w:pBdr>
        <w:spacing w:line="240" w:lineRule="atLeast"/>
        <w:ind w:left="-288"/>
        <w:rPr>
          <w:rFonts w:ascii="Tw Cen MT" w:eastAsia="Times New Roman" w:hAnsi="Tw Cen MT" w:cs="Times New Roman"/>
          <w:color w:val="000000"/>
          <w:sz w:val="16"/>
          <w:szCs w:val="16"/>
        </w:rPr>
      </w:pPr>
      <w:r>
        <w:rPr>
          <w:rFonts w:ascii="Tw Cen MT" w:eastAsia="Times New Roman" w:hAnsi="Tw Cen MT" w:cs="Times New Roman"/>
          <w:color w:val="000000"/>
          <w:sz w:val="16"/>
          <w:szCs w:val="16"/>
        </w:rPr>
        <w:t>14.</w:t>
      </w:r>
      <w:r w:rsidRPr="00805DEE">
        <w:rPr>
          <w:rFonts w:ascii="Tw Cen MT" w:eastAsia="Times New Roman" w:hAnsi="Tw Cen MT" w:cs="Times New Roman"/>
          <w:color w:val="000000"/>
          <w:sz w:val="16"/>
          <w:szCs w:val="16"/>
        </w:rPr>
        <w:t>Kling, J. M., Clarke, B. L., &amp; Sandhu, N. P. (2014). Osteoporosis prevention, screening, and treatment: A review. Journal of Women’s Health, 23(7), 563–572. http://doi.org/10.1089/jwh.2013.4611</w:t>
      </w:r>
    </w:p>
    <w:p w:rsidR="00805DEE" w:rsidRPr="00805DEE" w:rsidRDefault="00805DEE" w:rsidP="00805DEE">
      <w:pPr>
        <w:pStyle w:val="normal0"/>
        <w:pBdr>
          <w:top w:val="nil"/>
          <w:left w:val="nil"/>
          <w:bottom w:val="nil"/>
          <w:right w:val="nil"/>
          <w:between w:val="nil"/>
        </w:pBdr>
        <w:spacing w:line="240" w:lineRule="atLeast"/>
        <w:ind w:left="-288"/>
        <w:rPr>
          <w:rFonts w:ascii="Tw Cen MT" w:eastAsia="Times New Roman" w:hAnsi="Tw Cen MT" w:cs="Times New Roman"/>
          <w:color w:val="000000"/>
          <w:sz w:val="16"/>
          <w:szCs w:val="16"/>
        </w:rPr>
      </w:pPr>
      <w:r>
        <w:rPr>
          <w:rFonts w:ascii="Tw Cen MT" w:eastAsia="Times New Roman" w:hAnsi="Tw Cen MT" w:cs="Times New Roman"/>
          <w:color w:val="000000"/>
          <w:sz w:val="16"/>
          <w:szCs w:val="16"/>
        </w:rPr>
        <w:t>15.</w:t>
      </w:r>
      <w:r w:rsidRPr="00805DEE">
        <w:rPr>
          <w:rFonts w:ascii="Tw Cen MT" w:eastAsia="Times New Roman" w:hAnsi="Tw Cen MT" w:cs="Times New Roman"/>
          <w:color w:val="000000"/>
          <w:sz w:val="16"/>
          <w:szCs w:val="16"/>
        </w:rPr>
        <w:t>Korownyk, C., McCormack, J., &amp; Allan, G.M. (2015). Who should receive bone mineral density testing? Canadian Family Physician. Retrieved from www.acfp.ca.</w:t>
      </w:r>
    </w:p>
    <w:p w:rsidR="00805DEE" w:rsidRPr="00805DEE" w:rsidRDefault="00805DEE" w:rsidP="00805DEE">
      <w:pPr>
        <w:pStyle w:val="normal0"/>
        <w:pBdr>
          <w:top w:val="nil"/>
          <w:left w:val="nil"/>
          <w:bottom w:val="nil"/>
          <w:right w:val="nil"/>
          <w:between w:val="nil"/>
        </w:pBdr>
        <w:spacing w:line="240" w:lineRule="atLeast"/>
        <w:ind w:left="-288"/>
        <w:rPr>
          <w:rFonts w:ascii="Tw Cen MT" w:eastAsia="Times New Roman" w:hAnsi="Tw Cen MT" w:cs="Times New Roman"/>
          <w:color w:val="000000"/>
          <w:sz w:val="16"/>
          <w:szCs w:val="16"/>
        </w:rPr>
      </w:pPr>
      <w:r>
        <w:rPr>
          <w:rFonts w:ascii="Tw Cen MT" w:eastAsia="Times New Roman" w:hAnsi="Tw Cen MT" w:cs="Times New Roman"/>
          <w:color w:val="000000"/>
          <w:sz w:val="16"/>
          <w:szCs w:val="16"/>
          <w:highlight w:val="white"/>
        </w:rPr>
        <w:t>16.</w:t>
      </w:r>
      <w:r w:rsidRPr="00805DEE">
        <w:rPr>
          <w:rFonts w:ascii="Tw Cen MT" w:eastAsia="Times New Roman" w:hAnsi="Tw Cen MT" w:cs="Times New Roman"/>
          <w:color w:val="000000"/>
          <w:sz w:val="16"/>
          <w:szCs w:val="16"/>
          <w:highlight w:val="white"/>
        </w:rPr>
        <w:t>Li, Y., Wong, K., Law, M., Fang, B., Lau, V., Vardhanabuti, V., … Lam, W. (2018). Opportunistic screening for osteoporosis in abdominal computed tomography for Chinese population. Archives of Osteoporosis, 13(1), 1–7. https://doi.org/10.1007/s11657-018-0492-y</w:t>
      </w:r>
    </w:p>
    <w:p w:rsidR="00805DEE" w:rsidRPr="00805DEE" w:rsidRDefault="00805DEE" w:rsidP="00805DEE">
      <w:pPr>
        <w:pStyle w:val="normal0"/>
        <w:pBdr>
          <w:top w:val="nil"/>
          <w:left w:val="nil"/>
          <w:bottom w:val="nil"/>
          <w:right w:val="nil"/>
          <w:between w:val="nil"/>
        </w:pBdr>
        <w:spacing w:line="240" w:lineRule="atLeast"/>
        <w:ind w:left="-288"/>
        <w:rPr>
          <w:rFonts w:ascii="Tw Cen MT" w:eastAsia="Times New Roman" w:hAnsi="Tw Cen MT" w:cs="Times New Roman"/>
          <w:color w:val="000000"/>
          <w:sz w:val="16"/>
          <w:szCs w:val="16"/>
        </w:rPr>
      </w:pPr>
      <w:r>
        <w:rPr>
          <w:rFonts w:ascii="Tw Cen MT" w:eastAsia="Times New Roman" w:hAnsi="Tw Cen MT" w:cs="Times New Roman"/>
          <w:color w:val="000000"/>
          <w:sz w:val="16"/>
          <w:szCs w:val="16"/>
        </w:rPr>
        <w:t>17.</w:t>
      </w:r>
      <w:r w:rsidRPr="00805DEE">
        <w:rPr>
          <w:rFonts w:ascii="Tw Cen MT" w:eastAsia="Times New Roman" w:hAnsi="Tw Cen MT" w:cs="Times New Roman"/>
          <w:color w:val="000000"/>
          <w:sz w:val="16"/>
          <w:szCs w:val="16"/>
        </w:rPr>
        <w:t xml:space="preserve">McAdam-Marx, C., Unni, S., Ye, X., Nelson, S., &amp; Nickman, N. A. (2012).Impact of Medicare reimbursement reduction for imaging </w:t>
      </w:r>
      <w:r w:rsidRPr="00805DEE">
        <w:rPr>
          <w:rFonts w:ascii="Tw Cen MT" w:eastAsia="Times New Roman" w:hAnsi="Tw Cen MT" w:cs="Times New Roman"/>
          <w:color w:val="000000"/>
          <w:sz w:val="16"/>
          <w:szCs w:val="16"/>
        </w:rPr>
        <w:lastRenderedPageBreak/>
        <w:t>services on osteoporosis screening rates. Journal of the American Geriatrics Society, 60(3), 511–516.</w:t>
      </w:r>
      <w:hyperlink r:id="rId10">
        <w:r w:rsidRPr="00805DEE">
          <w:rPr>
            <w:rFonts w:ascii="Tw Cen MT" w:eastAsia="Times New Roman" w:hAnsi="Tw Cen MT" w:cs="Times New Roman"/>
            <w:color w:val="000000"/>
            <w:sz w:val="16"/>
            <w:szCs w:val="16"/>
          </w:rPr>
          <w:t>http://doi.org/10.1111/j.1532-5415.2011.03837</w:t>
        </w:r>
      </w:hyperlink>
      <w:r w:rsidRPr="00805DEE">
        <w:rPr>
          <w:rFonts w:ascii="Tw Cen MT" w:eastAsia="Times New Roman" w:hAnsi="Tw Cen MT" w:cs="Times New Roman"/>
          <w:color w:val="000000"/>
          <w:sz w:val="16"/>
          <w:szCs w:val="16"/>
        </w:rPr>
        <w:t>.x</w:t>
      </w:r>
    </w:p>
    <w:p w:rsidR="00805DEE" w:rsidRPr="00805DEE" w:rsidRDefault="00805DEE" w:rsidP="00805DEE">
      <w:pPr>
        <w:pStyle w:val="normal0"/>
        <w:pBdr>
          <w:top w:val="nil"/>
          <w:left w:val="nil"/>
          <w:bottom w:val="nil"/>
          <w:right w:val="nil"/>
          <w:between w:val="nil"/>
        </w:pBdr>
        <w:spacing w:line="240" w:lineRule="atLeast"/>
        <w:ind w:left="-288"/>
        <w:rPr>
          <w:rFonts w:ascii="Tw Cen MT" w:eastAsia="Times New Roman" w:hAnsi="Tw Cen MT" w:cs="Times New Roman"/>
          <w:color w:val="000000"/>
          <w:sz w:val="16"/>
          <w:szCs w:val="16"/>
        </w:rPr>
      </w:pPr>
      <w:r>
        <w:rPr>
          <w:rFonts w:ascii="Tw Cen MT" w:eastAsia="Times New Roman" w:hAnsi="Tw Cen MT" w:cs="Times New Roman"/>
          <w:color w:val="000000"/>
          <w:sz w:val="16"/>
          <w:szCs w:val="16"/>
        </w:rPr>
        <w:t>18.</w:t>
      </w:r>
      <w:r w:rsidRPr="00805DEE">
        <w:rPr>
          <w:rFonts w:ascii="Tw Cen MT" w:eastAsia="Times New Roman" w:hAnsi="Tw Cen MT" w:cs="Times New Roman"/>
          <w:color w:val="000000"/>
          <w:sz w:val="16"/>
          <w:szCs w:val="16"/>
        </w:rPr>
        <w:t>Medicare. (2018). Is my test, item, or service covered? Retrieved from https://www.medicare. gov/coverage/bone-density.html</w:t>
      </w:r>
    </w:p>
    <w:p w:rsidR="00805DEE" w:rsidRPr="00805DEE" w:rsidRDefault="00805DEE" w:rsidP="00805DEE">
      <w:pPr>
        <w:pStyle w:val="normal0"/>
        <w:pBdr>
          <w:top w:val="nil"/>
          <w:left w:val="nil"/>
          <w:bottom w:val="nil"/>
          <w:right w:val="nil"/>
          <w:between w:val="nil"/>
        </w:pBdr>
        <w:spacing w:line="240" w:lineRule="atLeast"/>
        <w:ind w:left="-288"/>
        <w:rPr>
          <w:rFonts w:ascii="Tw Cen MT" w:eastAsia="Times New Roman" w:hAnsi="Tw Cen MT" w:cs="Times New Roman"/>
          <w:color w:val="000000"/>
          <w:sz w:val="16"/>
          <w:szCs w:val="16"/>
        </w:rPr>
      </w:pPr>
      <w:r>
        <w:rPr>
          <w:rFonts w:ascii="Tw Cen MT" w:eastAsia="Times New Roman" w:hAnsi="Tw Cen MT" w:cs="Times New Roman"/>
          <w:color w:val="000000"/>
          <w:sz w:val="16"/>
          <w:szCs w:val="16"/>
        </w:rPr>
        <w:t>19.</w:t>
      </w:r>
      <w:r w:rsidRPr="00805DEE">
        <w:rPr>
          <w:rFonts w:ascii="Tw Cen MT" w:eastAsia="Times New Roman" w:hAnsi="Tw Cen MT" w:cs="Times New Roman"/>
          <w:color w:val="000000"/>
          <w:sz w:val="16"/>
          <w:szCs w:val="16"/>
        </w:rPr>
        <w:t>Medicare Screening Services.(2018). Bone mass measurements. Retrieved from https://www.acog.org/-/media/Departments/Coding/Screening-Services-2018_final.pdf</w:t>
      </w:r>
    </w:p>
    <w:p w:rsidR="00805DEE" w:rsidRPr="00805DEE" w:rsidRDefault="00805DEE" w:rsidP="00805DEE">
      <w:pPr>
        <w:pStyle w:val="normal0"/>
        <w:pBdr>
          <w:top w:val="nil"/>
          <w:left w:val="nil"/>
          <w:bottom w:val="nil"/>
          <w:right w:val="nil"/>
          <w:between w:val="nil"/>
        </w:pBdr>
        <w:spacing w:line="240" w:lineRule="atLeast"/>
        <w:ind w:left="-288"/>
        <w:rPr>
          <w:rFonts w:ascii="Tw Cen MT" w:eastAsia="Times New Roman" w:hAnsi="Tw Cen MT" w:cs="Times New Roman"/>
          <w:color w:val="000000"/>
          <w:sz w:val="16"/>
          <w:szCs w:val="16"/>
        </w:rPr>
      </w:pPr>
      <w:r>
        <w:rPr>
          <w:rFonts w:ascii="Tw Cen MT" w:eastAsia="Times New Roman" w:hAnsi="Tw Cen MT" w:cs="Times New Roman"/>
          <w:color w:val="000000"/>
          <w:sz w:val="16"/>
          <w:szCs w:val="16"/>
        </w:rPr>
        <w:t>20.</w:t>
      </w:r>
      <w:r w:rsidRPr="00805DEE">
        <w:rPr>
          <w:rFonts w:ascii="Tw Cen MT" w:eastAsia="Times New Roman" w:hAnsi="Tw Cen MT" w:cs="Times New Roman"/>
          <w:color w:val="000000"/>
          <w:sz w:val="16"/>
          <w:szCs w:val="16"/>
        </w:rPr>
        <w:t>Morden, N. E., Schpero, W. L., Zaha, R., Sequist, T. D., &amp; Colla, C. H. (2014). Overuse of short-interval bone densitometry: Assessing rates of low-value care. Osteoporosis International, 25(9), 2307-2311.</w:t>
      </w:r>
    </w:p>
    <w:p w:rsidR="00805DEE" w:rsidRPr="00805DEE" w:rsidRDefault="00805DEE" w:rsidP="00805DEE">
      <w:pPr>
        <w:pStyle w:val="normal0"/>
        <w:pBdr>
          <w:top w:val="nil"/>
          <w:left w:val="nil"/>
          <w:bottom w:val="nil"/>
          <w:right w:val="nil"/>
          <w:between w:val="nil"/>
        </w:pBdr>
        <w:spacing w:line="240" w:lineRule="atLeast"/>
        <w:ind w:left="-288"/>
        <w:rPr>
          <w:rFonts w:ascii="Tw Cen MT" w:eastAsia="Times New Roman" w:hAnsi="Tw Cen MT" w:cs="Times New Roman"/>
          <w:color w:val="000000"/>
          <w:sz w:val="16"/>
          <w:szCs w:val="16"/>
        </w:rPr>
      </w:pPr>
      <w:r>
        <w:rPr>
          <w:rFonts w:ascii="Tw Cen MT" w:eastAsia="Times New Roman" w:hAnsi="Tw Cen MT" w:cs="Times New Roman"/>
          <w:color w:val="000000"/>
          <w:sz w:val="16"/>
          <w:szCs w:val="16"/>
          <w:highlight w:val="white"/>
        </w:rPr>
        <w:t>21.</w:t>
      </w:r>
      <w:r w:rsidRPr="00805DEE">
        <w:rPr>
          <w:rFonts w:ascii="Tw Cen MT" w:eastAsia="Times New Roman" w:hAnsi="Tw Cen MT" w:cs="Times New Roman"/>
          <w:color w:val="000000"/>
          <w:sz w:val="16"/>
          <w:szCs w:val="16"/>
          <w:highlight w:val="white"/>
        </w:rPr>
        <w:t>Patel, D., Worley, J. R., Volgas, D. A., &amp; Crist, B. D. (2018). The Effectiveness of osteoporosis screening and treatment in the Midwest. Geriatric Orthopaedic Surgery &amp; Rehabilitation, 9, 2151459318765844.doi:10.1177/2151459318765844</w:t>
      </w:r>
    </w:p>
    <w:p w:rsidR="00805DEE" w:rsidRPr="00805DEE" w:rsidRDefault="00805DEE" w:rsidP="00805DEE">
      <w:pPr>
        <w:pStyle w:val="normal0"/>
        <w:pBdr>
          <w:top w:val="nil"/>
          <w:left w:val="nil"/>
          <w:bottom w:val="nil"/>
          <w:right w:val="nil"/>
          <w:between w:val="nil"/>
        </w:pBdr>
        <w:spacing w:line="240" w:lineRule="atLeast"/>
        <w:ind w:left="-288"/>
        <w:rPr>
          <w:rFonts w:ascii="Tw Cen MT" w:eastAsia="Times New Roman" w:hAnsi="Tw Cen MT" w:cs="Times New Roman"/>
          <w:color w:val="000000"/>
          <w:sz w:val="16"/>
          <w:szCs w:val="16"/>
        </w:rPr>
      </w:pPr>
      <w:r>
        <w:rPr>
          <w:rFonts w:ascii="Tw Cen MT" w:eastAsia="Times New Roman" w:hAnsi="Tw Cen MT" w:cs="Times New Roman"/>
          <w:color w:val="000000"/>
          <w:sz w:val="16"/>
          <w:szCs w:val="16"/>
        </w:rPr>
        <w:t>22.</w:t>
      </w:r>
      <w:r w:rsidRPr="00805DEE">
        <w:rPr>
          <w:rFonts w:ascii="Tw Cen MT" w:eastAsia="Times New Roman" w:hAnsi="Tw Cen MT" w:cs="Times New Roman"/>
          <w:color w:val="000000"/>
          <w:sz w:val="16"/>
          <w:szCs w:val="16"/>
        </w:rPr>
        <w:t>Rice, P., Mehan, U., Hamilton, C., &amp; Kim, S. (2014). Screening, assessment, and treatment of osteoporosis for the nurse practitioner: Key questions and answers for clinical practice—A Canadian perspective. Journal of the American Association of Nurse Practitioners, 26(7), 378–385.</w:t>
      </w:r>
      <w:r w:rsidRPr="00805DEE">
        <w:rPr>
          <w:rFonts w:ascii="Tw Cen MT" w:hAnsi="Tw Cen MT"/>
          <w:sz w:val="16"/>
          <w:szCs w:val="16"/>
        </w:rPr>
        <w:fldChar w:fldCharType="begin"/>
      </w:r>
      <w:r w:rsidRPr="00805DEE">
        <w:rPr>
          <w:rFonts w:ascii="Tw Cen MT" w:hAnsi="Tw Cen MT"/>
          <w:sz w:val="16"/>
          <w:szCs w:val="16"/>
        </w:rPr>
        <w:instrText xml:space="preserve"> HYPERLINK "http://doi.org/10.1002/2327-6924.12134" </w:instrText>
      </w:r>
      <w:r w:rsidRPr="00805DEE">
        <w:rPr>
          <w:rFonts w:ascii="Tw Cen MT" w:hAnsi="Tw Cen MT"/>
          <w:sz w:val="16"/>
          <w:szCs w:val="16"/>
        </w:rPr>
        <w:fldChar w:fldCharType="separate"/>
      </w:r>
      <w:r w:rsidRPr="00805DEE">
        <w:rPr>
          <w:rFonts w:ascii="Tw Cen MT" w:eastAsia="Times New Roman" w:hAnsi="Tw Cen MT" w:cs="Times New Roman"/>
          <w:color w:val="000000"/>
          <w:sz w:val="16"/>
          <w:szCs w:val="16"/>
        </w:rPr>
        <w:t>http://doi.org/10.1002/2327-6924.12134</w:t>
      </w:r>
    </w:p>
    <w:p w:rsidR="00805DEE" w:rsidRPr="00805DEE" w:rsidRDefault="00805DEE" w:rsidP="00805DEE">
      <w:pPr>
        <w:pStyle w:val="normal0"/>
        <w:pBdr>
          <w:top w:val="nil"/>
          <w:left w:val="nil"/>
          <w:bottom w:val="nil"/>
          <w:right w:val="nil"/>
          <w:between w:val="nil"/>
        </w:pBdr>
        <w:spacing w:line="240" w:lineRule="atLeast"/>
        <w:ind w:left="-288"/>
        <w:rPr>
          <w:rFonts w:ascii="Tw Cen MT" w:eastAsia="Times New Roman" w:hAnsi="Tw Cen MT" w:cs="Times New Roman"/>
          <w:color w:val="000000"/>
          <w:sz w:val="16"/>
          <w:szCs w:val="16"/>
        </w:rPr>
      </w:pPr>
      <w:r w:rsidRPr="00805DEE">
        <w:rPr>
          <w:rFonts w:ascii="Tw Cen MT" w:hAnsi="Tw Cen MT"/>
          <w:sz w:val="16"/>
          <w:szCs w:val="16"/>
        </w:rPr>
        <w:fldChar w:fldCharType="end"/>
      </w:r>
      <w:r>
        <w:rPr>
          <w:rFonts w:ascii="Tw Cen MT" w:hAnsi="Tw Cen MT"/>
          <w:sz w:val="16"/>
          <w:szCs w:val="16"/>
        </w:rPr>
        <w:t>23.</w:t>
      </w:r>
      <w:r w:rsidRPr="00805DEE">
        <w:rPr>
          <w:rFonts w:ascii="Tw Cen MT" w:eastAsia="Times New Roman" w:hAnsi="Tw Cen MT" w:cs="Times New Roman"/>
          <w:color w:val="000000"/>
          <w:sz w:val="16"/>
          <w:szCs w:val="16"/>
        </w:rPr>
        <w:t xml:space="preserve">Rosado, F.(2007). History of Osteoporosis. Retrieved from: </w:t>
      </w:r>
      <w:r w:rsidRPr="00805DEE">
        <w:rPr>
          <w:rFonts w:ascii="Tw Cen MT" w:hAnsi="Tw Cen MT"/>
          <w:sz w:val="16"/>
          <w:szCs w:val="16"/>
        </w:rPr>
        <w:fldChar w:fldCharType="begin"/>
      </w:r>
      <w:r w:rsidRPr="00805DEE">
        <w:rPr>
          <w:rFonts w:ascii="Tw Cen MT" w:hAnsi="Tw Cen MT"/>
          <w:sz w:val="16"/>
          <w:szCs w:val="16"/>
        </w:rPr>
        <w:instrText xml:space="preserve"> HYPERLINK "https://reliawire.com/history-osteoporosis/" </w:instrText>
      </w:r>
      <w:r w:rsidRPr="00805DEE">
        <w:rPr>
          <w:rFonts w:ascii="Tw Cen MT" w:hAnsi="Tw Cen MT"/>
          <w:sz w:val="16"/>
          <w:szCs w:val="16"/>
        </w:rPr>
        <w:fldChar w:fldCharType="separate"/>
      </w:r>
      <w:r w:rsidRPr="00805DEE">
        <w:rPr>
          <w:rFonts w:ascii="Tw Cen MT" w:eastAsia="Times New Roman" w:hAnsi="Tw Cen MT" w:cs="Times New Roman"/>
          <w:color w:val="000000"/>
          <w:sz w:val="16"/>
          <w:szCs w:val="16"/>
        </w:rPr>
        <w:t>https://reliawire.com/history-osteoporosis/</w:t>
      </w:r>
    </w:p>
    <w:p w:rsidR="00805DEE" w:rsidRPr="00805DEE" w:rsidRDefault="00805DEE" w:rsidP="00805DEE">
      <w:pPr>
        <w:pStyle w:val="normal0"/>
        <w:pBdr>
          <w:top w:val="nil"/>
          <w:left w:val="nil"/>
          <w:bottom w:val="nil"/>
          <w:right w:val="nil"/>
          <w:between w:val="nil"/>
        </w:pBdr>
        <w:spacing w:line="240" w:lineRule="atLeast"/>
        <w:ind w:left="-288"/>
        <w:rPr>
          <w:rFonts w:ascii="Tw Cen MT" w:eastAsia="Times New Roman" w:hAnsi="Tw Cen MT" w:cs="Times New Roman"/>
          <w:color w:val="000000"/>
          <w:sz w:val="16"/>
          <w:szCs w:val="16"/>
          <w:highlight w:val="white"/>
        </w:rPr>
      </w:pPr>
      <w:r w:rsidRPr="00805DEE">
        <w:rPr>
          <w:rFonts w:ascii="Tw Cen MT" w:hAnsi="Tw Cen MT"/>
          <w:sz w:val="16"/>
          <w:szCs w:val="16"/>
        </w:rPr>
        <w:fldChar w:fldCharType="end"/>
      </w:r>
      <w:r w:rsidRPr="00805DEE">
        <w:rPr>
          <w:rFonts w:ascii="Tw Cen MT" w:eastAsia="Times New Roman" w:hAnsi="Tw Cen MT" w:cs="Times New Roman"/>
          <w:color w:val="000000"/>
          <w:sz w:val="16"/>
          <w:szCs w:val="16"/>
          <w:highlight w:val="white"/>
        </w:rPr>
        <w:t xml:space="preserve"> </w:t>
      </w:r>
      <w:r>
        <w:rPr>
          <w:rFonts w:ascii="Tw Cen MT" w:eastAsia="Times New Roman" w:hAnsi="Tw Cen MT" w:cs="Times New Roman"/>
          <w:color w:val="000000"/>
          <w:sz w:val="16"/>
          <w:szCs w:val="16"/>
          <w:highlight w:val="white"/>
        </w:rPr>
        <w:t>24.</w:t>
      </w:r>
      <w:r w:rsidRPr="00805DEE">
        <w:rPr>
          <w:rFonts w:ascii="Tw Cen MT" w:eastAsia="Times New Roman" w:hAnsi="Tw Cen MT" w:cs="Times New Roman"/>
          <w:color w:val="000000"/>
          <w:sz w:val="16"/>
          <w:szCs w:val="16"/>
          <w:highlight w:val="white"/>
        </w:rPr>
        <w:t>Sheehan, S. E., Shyu, J. Y., Weaver, M. J., Sodickson, A. D.,&amp; Khurana, B. (2015). Proximal femoral fractures: What the orthopedic surgeon wants to know. Radiographics, 35(5), 1563-1584.</w:t>
      </w:r>
    </w:p>
    <w:p w:rsidR="00805DEE" w:rsidRPr="00805DEE" w:rsidRDefault="00805DEE" w:rsidP="00805DEE">
      <w:pPr>
        <w:pStyle w:val="normal0"/>
        <w:pBdr>
          <w:top w:val="nil"/>
          <w:left w:val="nil"/>
          <w:bottom w:val="nil"/>
          <w:right w:val="nil"/>
          <w:between w:val="nil"/>
        </w:pBdr>
        <w:spacing w:line="240" w:lineRule="atLeast"/>
        <w:ind w:left="-288"/>
        <w:rPr>
          <w:rFonts w:ascii="Tw Cen MT" w:eastAsia="Times New Roman" w:hAnsi="Tw Cen MT" w:cs="Times New Roman"/>
          <w:color w:val="000000"/>
          <w:sz w:val="16"/>
          <w:szCs w:val="16"/>
          <w:highlight w:val="white"/>
        </w:rPr>
      </w:pPr>
      <w:r>
        <w:rPr>
          <w:rFonts w:ascii="Tw Cen MT" w:eastAsia="Times New Roman" w:hAnsi="Tw Cen MT" w:cs="Times New Roman"/>
          <w:color w:val="000000"/>
          <w:sz w:val="16"/>
          <w:szCs w:val="16"/>
          <w:highlight w:val="white"/>
        </w:rPr>
        <w:t>25.</w:t>
      </w:r>
      <w:r w:rsidRPr="00805DEE">
        <w:rPr>
          <w:rFonts w:ascii="Tw Cen MT" w:eastAsia="Times New Roman" w:hAnsi="Tw Cen MT" w:cs="Times New Roman"/>
          <w:color w:val="000000"/>
          <w:sz w:val="16"/>
          <w:szCs w:val="16"/>
          <w:highlight w:val="white"/>
        </w:rPr>
        <w:t>Stormo, A. R., Saraiya, M., Hing, E., Henderson, J. T., &amp; Sawaya, G. F. (2014). Women’s clinical preventive services in the United States: who is doing what?. JAMA internal medicine, 174(9), 1512-1514.</w:t>
      </w:r>
    </w:p>
    <w:p w:rsidR="00805DEE" w:rsidRPr="00805DEE" w:rsidRDefault="00805DEE" w:rsidP="00805DEE">
      <w:pPr>
        <w:pStyle w:val="normal0"/>
        <w:pBdr>
          <w:top w:val="nil"/>
          <w:left w:val="nil"/>
          <w:bottom w:val="nil"/>
          <w:right w:val="nil"/>
          <w:between w:val="nil"/>
        </w:pBdr>
        <w:spacing w:line="240" w:lineRule="atLeast"/>
        <w:ind w:left="-288"/>
        <w:rPr>
          <w:rFonts w:ascii="Tw Cen MT" w:eastAsia="Times New Roman" w:hAnsi="Tw Cen MT" w:cs="Times New Roman"/>
          <w:color w:val="000000"/>
          <w:sz w:val="16"/>
          <w:szCs w:val="16"/>
        </w:rPr>
      </w:pPr>
      <w:r>
        <w:rPr>
          <w:rFonts w:ascii="Tw Cen MT" w:eastAsia="Times New Roman" w:hAnsi="Tw Cen MT" w:cs="Times New Roman"/>
          <w:color w:val="000000"/>
          <w:sz w:val="16"/>
          <w:szCs w:val="16"/>
          <w:highlight w:val="white"/>
        </w:rPr>
        <w:t>26.</w:t>
      </w:r>
      <w:r w:rsidRPr="00805DEE">
        <w:rPr>
          <w:rFonts w:ascii="Tw Cen MT" w:eastAsia="Times New Roman" w:hAnsi="Tw Cen MT" w:cs="Times New Roman"/>
          <w:color w:val="000000"/>
          <w:sz w:val="16"/>
          <w:szCs w:val="16"/>
          <w:highlight w:val="white"/>
        </w:rPr>
        <w:t>Stride, P. J., Patel, N., &amp; Kingston, D. (2013). The history of osteoporosis: Why do Egyptian mummies have porotic bones? Journal of the Royal College of Physicians of Edinburgh, 43(3), 254-261.</w:t>
      </w:r>
    </w:p>
    <w:p w:rsidR="00805DEE" w:rsidRPr="00805DEE" w:rsidRDefault="00805DEE" w:rsidP="00805DEE">
      <w:pPr>
        <w:pStyle w:val="normal0"/>
        <w:pBdr>
          <w:top w:val="nil"/>
          <w:left w:val="nil"/>
          <w:bottom w:val="nil"/>
          <w:right w:val="nil"/>
          <w:between w:val="nil"/>
        </w:pBdr>
        <w:spacing w:line="240" w:lineRule="atLeast"/>
        <w:ind w:left="-288"/>
        <w:rPr>
          <w:rFonts w:ascii="Tw Cen MT" w:eastAsia="Times New Roman" w:hAnsi="Tw Cen MT" w:cs="Times New Roman"/>
          <w:color w:val="000000"/>
          <w:sz w:val="16"/>
          <w:szCs w:val="16"/>
          <w:highlight w:val="white"/>
        </w:rPr>
      </w:pPr>
      <w:r>
        <w:rPr>
          <w:rFonts w:ascii="Tw Cen MT" w:eastAsia="Times New Roman" w:hAnsi="Tw Cen MT" w:cs="Times New Roman"/>
          <w:color w:val="000000"/>
          <w:sz w:val="16"/>
          <w:szCs w:val="16"/>
        </w:rPr>
        <w:t>27.</w:t>
      </w:r>
      <w:r w:rsidRPr="00805DEE">
        <w:rPr>
          <w:rFonts w:ascii="Tw Cen MT" w:eastAsia="Times New Roman" w:hAnsi="Tw Cen MT" w:cs="Times New Roman"/>
          <w:color w:val="000000"/>
          <w:sz w:val="16"/>
          <w:szCs w:val="16"/>
        </w:rPr>
        <w:t xml:space="preserve">The NIH Osteoporosis and Related Bone Diseases National Resource Center </w:t>
      </w:r>
      <w:r w:rsidRPr="00805DEE">
        <w:rPr>
          <w:rFonts w:ascii="Tw Cen MT" w:eastAsia="Times New Roman" w:hAnsi="Tw Cen MT" w:cs="Times New Roman"/>
          <w:color w:val="000000"/>
          <w:sz w:val="16"/>
          <w:szCs w:val="16"/>
          <w:highlight w:val="white"/>
        </w:rPr>
        <w:t>(ORBD-NRC)</w:t>
      </w:r>
      <w:r w:rsidRPr="00805DEE">
        <w:rPr>
          <w:rFonts w:ascii="Tw Cen MT" w:eastAsia="Times New Roman" w:hAnsi="Tw Cen MT" w:cs="Times New Roman"/>
          <w:color w:val="000000"/>
          <w:sz w:val="16"/>
          <w:szCs w:val="16"/>
        </w:rPr>
        <w:t>. (2015). Osteoporosis overview. Retrieved from https://www.bones.nih.gov/sites/bones/files/pdfs/osteop_overview_update_6-15.pdf</w:t>
      </w:r>
    </w:p>
    <w:p w:rsidR="00805DEE" w:rsidRPr="00805DEE" w:rsidRDefault="00805DEE" w:rsidP="00805DEE">
      <w:pPr>
        <w:pStyle w:val="normal0"/>
        <w:pBdr>
          <w:top w:val="nil"/>
          <w:left w:val="nil"/>
          <w:bottom w:val="nil"/>
          <w:right w:val="nil"/>
          <w:between w:val="nil"/>
        </w:pBdr>
        <w:spacing w:line="240" w:lineRule="atLeast"/>
        <w:ind w:left="-288"/>
        <w:rPr>
          <w:rFonts w:ascii="Tw Cen MT" w:eastAsia="Times New Roman" w:hAnsi="Tw Cen MT" w:cs="Times New Roman"/>
          <w:color w:val="000000"/>
          <w:sz w:val="16"/>
          <w:szCs w:val="16"/>
        </w:rPr>
      </w:pPr>
      <w:r>
        <w:rPr>
          <w:rFonts w:ascii="Tw Cen MT" w:eastAsia="Times New Roman" w:hAnsi="Tw Cen MT" w:cs="Times New Roman"/>
          <w:color w:val="000000"/>
          <w:sz w:val="16"/>
          <w:szCs w:val="16"/>
        </w:rPr>
        <w:t>28.</w:t>
      </w:r>
      <w:r w:rsidRPr="00805DEE">
        <w:rPr>
          <w:rFonts w:ascii="Tw Cen MT" w:eastAsia="Times New Roman" w:hAnsi="Tw Cen MT" w:cs="Times New Roman"/>
          <w:color w:val="000000"/>
          <w:sz w:val="16"/>
          <w:szCs w:val="16"/>
        </w:rPr>
        <w:t>U.S. Preventive Services Task Force (USPSTF). (2002).Screening for osteoporosis in postmenopausal women: Recommendations and rationale. Rockville, Md.: Agency for Healthcare Research and Quality; AHRQ publication 03-511A. Retrieved from</w:t>
      </w:r>
      <w:r>
        <w:rPr>
          <w:rFonts w:ascii="Tw Cen MT" w:eastAsia="Times New Roman" w:hAnsi="Tw Cen MT" w:cs="Times New Roman"/>
          <w:color w:val="000000"/>
          <w:sz w:val="16"/>
          <w:szCs w:val="16"/>
        </w:rPr>
        <w:t xml:space="preserve">  </w:t>
      </w:r>
      <w:r w:rsidRPr="00805DEE">
        <w:rPr>
          <w:rFonts w:ascii="Tw Cen MT" w:hAnsi="Tw Cen MT"/>
          <w:sz w:val="16"/>
          <w:szCs w:val="16"/>
        </w:rPr>
        <w:fldChar w:fldCharType="begin"/>
      </w:r>
      <w:r w:rsidRPr="00805DEE">
        <w:rPr>
          <w:rFonts w:ascii="Tw Cen MT" w:hAnsi="Tw Cen MT"/>
          <w:sz w:val="16"/>
          <w:szCs w:val="16"/>
        </w:rPr>
        <w:instrText xml:space="preserve"> HYPERLINK "http://www.uspreventiveservicestaskforce.org/3rduspstf/osteoporosis/osteorr.pdf" </w:instrText>
      </w:r>
      <w:r w:rsidRPr="00805DEE">
        <w:rPr>
          <w:rFonts w:ascii="Tw Cen MT" w:hAnsi="Tw Cen MT"/>
          <w:sz w:val="16"/>
          <w:szCs w:val="16"/>
        </w:rPr>
        <w:fldChar w:fldCharType="separate"/>
      </w:r>
      <w:r w:rsidRPr="00805DEE">
        <w:rPr>
          <w:rFonts w:ascii="Tw Cen MT" w:eastAsia="Times New Roman" w:hAnsi="Tw Cen MT" w:cs="Times New Roman"/>
          <w:color w:val="000000"/>
          <w:sz w:val="16"/>
          <w:szCs w:val="16"/>
        </w:rPr>
        <w:t>http://www.uspreventivese</w:t>
      </w:r>
      <w:r>
        <w:rPr>
          <w:rFonts w:ascii="Tw Cen MT" w:eastAsia="Times New Roman" w:hAnsi="Tw Cen MT" w:cs="Times New Roman"/>
          <w:color w:val="000000"/>
          <w:sz w:val="16"/>
          <w:szCs w:val="16"/>
        </w:rPr>
        <w:t xml:space="preserve"> </w:t>
      </w:r>
      <w:r w:rsidRPr="00805DEE">
        <w:rPr>
          <w:rFonts w:ascii="Tw Cen MT" w:eastAsia="Times New Roman" w:hAnsi="Tw Cen MT" w:cs="Times New Roman"/>
          <w:color w:val="000000"/>
          <w:sz w:val="16"/>
          <w:szCs w:val="16"/>
        </w:rPr>
        <w:t>rvicestaskforce.org/3rduspstf/osteoporosis/osteorr.pdf</w:t>
      </w:r>
    </w:p>
    <w:p w:rsidR="00805DEE" w:rsidRPr="00805DEE" w:rsidRDefault="00805DEE" w:rsidP="00805DEE">
      <w:pPr>
        <w:pStyle w:val="normal0"/>
        <w:pBdr>
          <w:top w:val="nil"/>
          <w:left w:val="nil"/>
          <w:bottom w:val="nil"/>
          <w:right w:val="nil"/>
          <w:between w:val="nil"/>
        </w:pBdr>
        <w:spacing w:line="240" w:lineRule="atLeast"/>
        <w:ind w:left="-288"/>
        <w:rPr>
          <w:rFonts w:ascii="Tw Cen MT" w:eastAsia="Times New Roman" w:hAnsi="Tw Cen MT" w:cs="Times New Roman"/>
          <w:color w:val="000000"/>
          <w:sz w:val="16"/>
          <w:szCs w:val="16"/>
        </w:rPr>
      </w:pPr>
      <w:r w:rsidRPr="00805DEE">
        <w:rPr>
          <w:rFonts w:ascii="Tw Cen MT" w:hAnsi="Tw Cen MT"/>
          <w:sz w:val="16"/>
          <w:szCs w:val="16"/>
        </w:rPr>
        <w:fldChar w:fldCharType="end"/>
      </w:r>
      <w:r>
        <w:rPr>
          <w:rFonts w:ascii="Tw Cen MT" w:hAnsi="Tw Cen MT"/>
          <w:sz w:val="16"/>
          <w:szCs w:val="16"/>
        </w:rPr>
        <w:t xml:space="preserve">29. </w:t>
      </w:r>
      <w:r w:rsidRPr="00805DEE">
        <w:rPr>
          <w:rFonts w:ascii="Tw Cen MT" w:eastAsia="Times New Roman" w:hAnsi="Tw Cen MT" w:cs="Times New Roman"/>
          <w:color w:val="000000"/>
          <w:sz w:val="16"/>
          <w:szCs w:val="16"/>
        </w:rPr>
        <w:t>University of Maryland Medical Center. (2018). Osteoporosis - The silent disease. Retrieved from: https://www.umms.org/ummc/health-services/osteoporosis/silent-disease</w:t>
      </w:r>
    </w:p>
    <w:p w:rsidR="00805DEE" w:rsidRPr="00805DEE" w:rsidRDefault="00805DEE" w:rsidP="00805DEE">
      <w:pPr>
        <w:pStyle w:val="normal0"/>
        <w:pBdr>
          <w:top w:val="nil"/>
          <w:left w:val="nil"/>
          <w:bottom w:val="nil"/>
          <w:right w:val="nil"/>
          <w:between w:val="nil"/>
        </w:pBdr>
        <w:spacing w:line="240" w:lineRule="atLeast"/>
        <w:ind w:left="-288"/>
        <w:rPr>
          <w:rFonts w:ascii="Tw Cen MT" w:eastAsia="Times New Roman" w:hAnsi="Tw Cen MT" w:cs="Times New Roman"/>
          <w:color w:val="000000"/>
          <w:sz w:val="16"/>
          <w:szCs w:val="16"/>
        </w:rPr>
      </w:pPr>
      <w:r>
        <w:rPr>
          <w:rFonts w:ascii="Tw Cen MT" w:eastAsia="Times New Roman" w:hAnsi="Tw Cen MT" w:cs="Times New Roman"/>
          <w:color w:val="000000"/>
          <w:sz w:val="16"/>
          <w:szCs w:val="16"/>
          <w:highlight w:val="white"/>
        </w:rPr>
        <w:t xml:space="preserve">30. </w:t>
      </w:r>
      <w:r w:rsidRPr="00805DEE">
        <w:rPr>
          <w:rFonts w:ascii="Tw Cen MT" w:eastAsia="Times New Roman" w:hAnsi="Tw Cen MT" w:cs="Times New Roman"/>
          <w:color w:val="000000"/>
          <w:sz w:val="16"/>
          <w:szCs w:val="16"/>
          <w:highlight w:val="white"/>
        </w:rPr>
        <w:t xml:space="preserve">Varacallo, M., &amp; Pizzutillo, P. (2018). Osteopenia. Retrieved from </w:t>
      </w:r>
      <w:r w:rsidRPr="00805DEE">
        <w:rPr>
          <w:rFonts w:ascii="Tw Cen MT" w:eastAsia="Times New Roman" w:hAnsi="Tw Cen MT" w:cs="Times New Roman"/>
          <w:color w:val="000000"/>
          <w:sz w:val="16"/>
          <w:szCs w:val="16"/>
        </w:rPr>
        <w:t>https://www.ncbi. nlm.nih.gov/books/NBK499878/</w:t>
      </w:r>
    </w:p>
    <w:p w:rsidR="00805DEE" w:rsidRDefault="00805DEE" w:rsidP="00805DEE">
      <w:pPr>
        <w:pStyle w:val="normal0"/>
        <w:pBdr>
          <w:top w:val="nil"/>
          <w:left w:val="nil"/>
          <w:bottom w:val="nil"/>
          <w:right w:val="nil"/>
          <w:between w:val="nil"/>
        </w:pBdr>
        <w:spacing w:line="240" w:lineRule="atLeast"/>
        <w:ind w:left="-288"/>
        <w:rPr>
          <w:rFonts w:ascii="Tw Cen MT" w:eastAsia="Times New Roman" w:hAnsi="Tw Cen MT" w:cs="Times New Roman"/>
          <w:color w:val="000000"/>
          <w:sz w:val="16"/>
          <w:szCs w:val="16"/>
        </w:rPr>
      </w:pPr>
      <w:r>
        <w:rPr>
          <w:rFonts w:ascii="Tw Cen MT" w:eastAsia="Times New Roman" w:hAnsi="Tw Cen MT" w:cs="Times New Roman"/>
          <w:color w:val="000000"/>
          <w:sz w:val="16"/>
          <w:szCs w:val="16"/>
        </w:rPr>
        <w:t xml:space="preserve">31. </w:t>
      </w:r>
      <w:r w:rsidRPr="00805DEE">
        <w:rPr>
          <w:rFonts w:ascii="Tw Cen MT" w:eastAsia="Times New Roman" w:hAnsi="Tw Cen MT" w:cs="Times New Roman"/>
          <w:color w:val="000000"/>
          <w:sz w:val="16"/>
          <w:szCs w:val="16"/>
        </w:rPr>
        <w:t>Weaver, J. P., Olsson, K., Sadasivan, R., Modi, A., &amp; Sen, S. (2017). Reasons for not treating women with postmenopausal osteoporosis with prescription medications: Physicians' and patients' perspectives. Journal of Women's Health, 26(12), 1302-1311.</w:t>
      </w:r>
    </w:p>
    <w:p w:rsidR="000556AC" w:rsidRDefault="000556AC" w:rsidP="00805DEE">
      <w:pPr>
        <w:pStyle w:val="normal0"/>
        <w:pBdr>
          <w:top w:val="nil"/>
          <w:left w:val="nil"/>
          <w:bottom w:val="nil"/>
          <w:right w:val="nil"/>
          <w:between w:val="nil"/>
        </w:pBdr>
        <w:spacing w:line="240" w:lineRule="atLeast"/>
        <w:ind w:left="-288"/>
        <w:rPr>
          <w:rFonts w:ascii="Tw Cen MT" w:eastAsia="Times New Roman" w:hAnsi="Tw Cen MT" w:cs="Times New Roman"/>
          <w:color w:val="000000"/>
          <w:sz w:val="16"/>
          <w:szCs w:val="16"/>
        </w:rPr>
      </w:pPr>
    </w:p>
    <w:p w:rsidR="000556AC" w:rsidRDefault="000556AC" w:rsidP="00805DEE">
      <w:pPr>
        <w:pStyle w:val="normal0"/>
        <w:pBdr>
          <w:top w:val="nil"/>
          <w:left w:val="nil"/>
          <w:bottom w:val="nil"/>
          <w:right w:val="nil"/>
          <w:between w:val="nil"/>
        </w:pBdr>
        <w:spacing w:line="240" w:lineRule="atLeast"/>
        <w:ind w:left="-288"/>
        <w:rPr>
          <w:rFonts w:ascii="Tw Cen MT" w:eastAsia="Times New Roman" w:hAnsi="Tw Cen MT" w:cs="Times New Roman"/>
          <w:color w:val="000000"/>
          <w:sz w:val="16"/>
          <w:szCs w:val="16"/>
        </w:rPr>
      </w:pPr>
    </w:p>
    <w:p w:rsidR="000556AC" w:rsidRDefault="000556AC" w:rsidP="00805DEE">
      <w:pPr>
        <w:pStyle w:val="normal0"/>
        <w:pBdr>
          <w:top w:val="nil"/>
          <w:left w:val="nil"/>
          <w:bottom w:val="nil"/>
          <w:right w:val="nil"/>
          <w:between w:val="nil"/>
        </w:pBdr>
        <w:spacing w:line="240" w:lineRule="atLeast"/>
        <w:ind w:left="-288"/>
        <w:rPr>
          <w:rFonts w:ascii="Tw Cen MT" w:eastAsia="Times New Roman" w:hAnsi="Tw Cen MT" w:cs="Times New Roman"/>
          <w:color w:val="000000"/>
          <w:sz w:val="16"/>
          <w:szCs w:val="16"/>
        </w:rPr>
      </w:pPr>
    </w:p>
    <w:p w:rsidR="000556AC" w:rsidRDefault="000556AC" w:rsidP="00805DEE">
      <w:pPr>
        <w:pStyle w:val="normal0"/>
        <w:pBdr>
          <w:top w:val="nil"/>
          <w:left w:val="nil"/>
          <w:bottom w:val="nil"/>
          <w:right w:val="nil"/>
          <w:between w:val="nil"/>
        </w:pBdr>
        <w:spacing w:line="240" w:lineRule="atLeast"/>
        <w:ind w:left="-288"/>
        <w:rPr>
          <w:rFonts w:ascii="Tw Cen MT" w:eastAsia="Times New Roman" w:hAnsi="Tw Cen MT" w:cs="Times New Roman"/>
          <w:color w:val="000000"/>
          <w:sz w:val="16"/>
          <w:szCs w:val="16"/>
        </w:rPr>
      </w:pPr>
    </w:p>
    <w:p w:rsidR="000556AC" w:rsidRDefault="00937E1E" w:rsidP="00805DEE">
      <w:pPr>
        <w:pStyle w:val="normal0"/>
        <w:pBdr>
          <w:top w:val="nil"/>
          <w:left w:val="nil"/>
          <w:bottom w:val="nil"/>
          <w:right w:val="nil"/>
          <w:between w:val="nil"/>
        </w:pBdr>
        <w:spacing w:line="240" w:lineRule="atLeast"/>
        <w:ind w:left="-288"/>
        <w:rPr>
          <w:rFonts w:ascii="Tw Cen MT" w:eastAsia="Times New Roman" w:hAnsi="Tw Cen MT" w:cs="Times New Roman"/>
          <w:color w:val="000000"/>
          <w:sz w:val="16"/>
          <w:szCs w:val="16"/>
        </w:rPr>
      </w:pPr>
      <w:r>
        <w:rPr>
          <w:rFonts w:ascii="Tw Cen MT" w:eastAsia="Times New Roman" w:hAnsi="Tw Cen MT" w:cs="Times New Roman"/>
          <w:color w:val="000000"/>
          <w:sz w:val="16"/>
          <w:szCs w:val="16"/>
        </w:rPr>
        <w:object w:dxaOrig="1081" w:dyaOrig="810">
          <v:shape id="_x0000_i1025" type="#_x0000_t75" style="width:84pt;height:63pt" o:ole="">
            <v:imagedata r:id="rId11" o:title=""/>
          </v:shape>
          <o:OLEObject Type="Embed" ProgID="Package" ShapeID="_x0000_i1025" DrawAspect="Content" ObjectID="_1630393239" r:id="rId12"/>
        </w:object>
      </w:r>
    </w:p>
    <w:p w:rsidR="00DF228A" w:rsidRDefault="00DF228A" w:rsidP="00805DEE">
      <w:pPr>
        <w:pStyle w:val="normal0"/>
        <w:pBdr>
          <w:top w:val="nil"/>
          <w:left w:val="nil"/>
          <w:bottom w:val="nil"/>
          <w:right w:val="nil"/>
          <w:between w:val="nil"/>
        </w:pBdr>
        <w:spacing w:line="240" w:lineRule="atLeast"/>
        <w:ind w:left="-288"/>
        <w:rPr>
          <w:rFonts w:ascii="Tw Cen MT" w:eastAsia="Times New Roman" w:hAnsi="Tw Cen MT" w:cs="Times New Roman"/>
          <w:color w:val="000000"/>
          <w:sz w:val="16"/>
          <w:szCs w:val="16"/>
        </w:rPr>
      </w:pPr>
    </w:p>
    <w:p w:rsidR="00DF228A" w:rsidRDefault="00DF228A" w:rsidP="00805DEE">
      <w:pPr>
        <w:pStyle w:val="normal0"/>
        <w:pBdr>
          <w:top w:val="nil"/>
          <w:left w:val="nil"/>
          <w:bottom w:val="nil"/>
          <w:right w:val="nil"/>
          <w:between w:val="nil"/>
        </w:pBdr>
        <w:spacing w:line="240" w:lineRule="atLeast"/>
        <w:ind w:left="-288"/>
        <w:rPr>
          <w:rFonts w:ascii="Tw Cen MT" w:eastAsia="Times New Roman" w:hAnsi="Tw Cen MT" w:cs="Times New Roman"/>
          <w:color w:val="000000"/>
          <w:sz w:val="16"/>
          <w:szCs w:val="16"/>
        </w:rPr>
      </w:pPr>
    </w:p>
    <w:p w:rsidR="00DF228A" w:rsidRDefault="00DF228A" w:rsidP="00805DEE">
      <w:pPr>
        <w:pStyle w:val="normal0"/>
        <w:pBdr>
          <w:top w:val="nil"/>
          <w:left w:val="nil"/>
          <w:bottom w:val="nil"/>
          <w:right w:val="nil"/>
          <w:between w:val="nil"/>
        </w:pBdr>
        <w:spacing w:line="240" w:lineRule="atLeast"/>
        <w:ind w:left="-288"/>
        <w:rPr>
          <w:rFonts w:ascii="Tw Cen MT" w:eastAsia="Times New Roman" w:hAnsi="Tw Cen MT" w:cs="Times New Roman"/>
          <w:color w:val="000000"/>
          <w:sz w:val="16"/>
          <w:szCs w:val="16"/>
        </w:rPr>
      </w:pPr>
    </w:p>
    <w:p w:rsidR="00DF228A" w:rsidRDefault="00DF228A" w:rsidP="00805DEE">
      <w:pPr>
        <w:pStyle w:val="normal0"/>
        <w:pBdr>
          <w:top w:val="nil"/>
          <w:left w:val="nil"/>
          <w:bottom w:val="nil"/>
          <w:right w:val="nil"/>
          <w:between w:val="nil"/>
        </w:pBdr>
        <w:spacing w:line="240" w:lineRule="atLeast"/>
        <w:ind w:left="-288"/>
        <w:rPr>
          <w:rFonts w:ascii="Tw Cen MT" w:eastAsia="Times New Roman" w:hAnsi="Tw Cen MT" w:cs="Times New Roman"/>
          <w:color w:val="000000"/>
          <w:sz w:val="16"/>
          <w:szCs w:val="16"/>
        </w:rPr>
      </w:pPr>
    </w:p>
    <w:p w:rsidR="00DF228A" w:rsidRDefault="00DF228A" w:rsidP="00805DEE">
      <w:pPr>
        <w:pStyle w:val="normal0"/>
        <w:pBdr>
          <w:top w:val="nil"/>
          <w:left w:val="nil"/>
          <w:bottom w:val="nil"/>
          <w:right w:val="nil"/>
          <w:between w:val="nil"/>
        </w:pBdr>
        <w:spacing w:line="240" w:lineRule="atLeast"/>
        <w:ind w:left="-288"/>
        <w:rPr>
          <w:rFonts w:ascii="Tw Cen MT" w:eastAsia="Times New Roman" w:hAnsi="Tw Cen MT" w:cs="Times New Roman"/>
          <w:color w:val="000000"/>
          <w:sz w:val="16"/>
          <w:szCs w:val="16"/>
        </w:rPr>
      </w:pPr>
    </w:p>
    <w:p w:rsidR="00DF228A" w:rsidRDefault="00DF228A" w:rsidP="00DF228A">
      <w:pPr>
        <w:pStyle w:val="normal0"/>
        <w:pBdr>
          <w:top w:val="nil"/>
          <w:left w:val="nil"/>
          <w:bottom w:val="nil"/>
          <w:right w:val="nil"/>
          <w:between w:val="nil"/>
        </w:pBdr>
        <w:spacing w:line="240" w:lineRule="atLeast"/>
        <w:ind w:left="-288"/>
        <w:jc w:val="both"/>
        <w:rPr>
          <w:rFonts w:ascii="Tw Cen MT" w:eastAsia="Times New Roman" w:hAnsi="Tw Cen MT" w:cs="Times New Roman"/>
          <w:color w:val="000000"/>
          <w:sz w:val="16"/>
          <w:szCs w:val="16"/>
        </w:rPr>
      </w:pPr>
    </w:p>
    <w:p w:rsidR="00DF228A" w:rsidRDefault="00DF228A" w:rsidP="00DF228A">
      <w:pPr>
        <w:pStyle w:val="normal0"/>
        <w:pBdr>
          <w:top w:val="nil"/>
          <w:left w:val="nil"/>
          <w:bottom w:val="nil"/>
          <w:right w:val="nil"/>
          <w:between w:val="nil"/>
        </w:pBdr>
        <w:spacing w:line="240" w:lineRule="atLeast"/>
        <w:ind w:left="-288"/>
        <w:jc w:val="both"/>
        <w:rPr>
          <w:rFonts w:ascii="Tw Cen MT" w:eastAsia="Times New Roman" w:hAnsi="Tw Cen MT" w:cs="Times New Roman"/>
          <w:color w:val="000000"/>
          <w:sz w:val="16"/>
          <w:szCs w:val="16"/>
        </w:rPr>
      </w:pPr>
    </w:p>
    <w:p w:rsidR="000556AC" w:rsidRDefault="000556AC" w:rsidP="00DF228A">
      <w:pPr>
        <w:pStyle w:val="normal0"/>
        <w:pBdr>
          <w:top w:val="nil"/>
          <w:left w:val="nil"/>
          <w:bottom w:val="nil"/>
          <w:right w:val="nil"/>
          <w:between w:val="nil"/>
        </w:pBdr>
        <w:spacing w:line="240" w:lineRule="atLeast"/>
        <w:ind w:left="-288"/>
        <w:jc w:val="both"/>
        <w:rPr>
          <w:rFonts w:ascii="Tw Cen MT" w:eastAsia="Times New Roman" w:hAnsi="Tw Cen MT" w:cs="Times New Roman"/>
          <w:color w:val="000000"/>
          <w:sz w:val="16"/>
          <w:szCs w:val="16"/>
        </w:rPr>
      </w:pPr>
      <w:r>
        <w:rPr>
          <w:rFonts w:ascii="Tw Cen MT" w:eastAsia="Times New Roman" w:hAnsi="Tw Cen MT" w:cs="Times New Roman"/>
          <w:color w:val="000000"/>
          <w:sz w:val="16"/>
          <w:szCs w:val="16"/>
        </w:rPr>
        <w:t>Biography</w:t>
      </w:r>
    </w:p>
    <w:p w:rsidR="000556AC" w:rsidRDefault="000556AC" w:rsidP="000556AC">
      <w:pPr>
        <w:spacing w:before="41" w:line="154" w:lineRule="exact"/>
        <w:ind w:left="213" w:right="231"/>
        <w:jc w:val="both"/>
        <w:rPr>
          <w:rFonts w:ascii="Arial"/>
          <w:sz w:val="14"/>
        </w:rPr>
        <w:sectPr w:rsidR="000556AC" w:rsidSect="000556AC">
          <w:type w:val="continuous"/>
          <w:pgSz w:w="12240" w:h="15840"/>
          <w:pgMar w:top="1440" w:right="1440" w:bottom="1440" w:left="1440" w:header="720" w:footer="720" w:gutter="0"/>
          <w:cols w:num="2" w:space="720"/>
          <w:docGrid w:linePitch="360"/>
        </w:sectPr>
      </w:pPr>
    </w:p>
    <w:p w:rsidR="000556AC" w:rsidRDefault="000556AC" w:rsidP="000556AC">
      <w:pPr>
        <w:spacing w:before="41" w:line="154" w:lineRule="exact"/>
        <w:ind w:left="213" w:right="231"/>
        <w:jc w:val="both"/>
        <w:rPr>
          <w:rFonts w:ascii="Arial"/>
          <w:sz w:val="14"/>
        </w:rPr>
      </w:pPr>
      <w:r>
        <w:rPr>
          <w:rFonts w:ascii="Arial"/>
          <w:sz w:val="14"/>
        </w:rPr>
        <w:lastRenderedPageBreak/>
        <w:t>She has her expertise in evaluation and passion in improving the health and wellbeing about Osteoporosis around the world. Her open and contextual screening tool creates new pathways for improving healthcare. She used this tool by guaranteed permission from DR Kempf, after years of experience in research, evaluation, and administration  both in hospital and nursing care institutions. The foundation is based on</w:t>
      </w:r>
      <w:r w:rsidR="00DF228A">
        <w:rPr>
          <w:rFonts w:ascii="Arial"/>
          <w:sz w:val="14"/>
        </w:rPr>
        <w:t xml:space="preserve"> the</w:t>
      </w:r>
      <w:r>
        <w:rPr>
          <w:rFonts w:ascii="Arial"/>
          <w:sz w:val="14"/>
        </w:rPr>
        <w:t xml:space="preserve"> knowledge to action model which is a methodology that utilizes the previous Osteoporosis screenings compare to current ones</w:t>
      </w:r>
      <w:r w:rsidR="00DF228A">
        <w:rPr>
          <w:rFonts w:ascii="Arial"/>
          <w:sz w:val="14"/>
        </w:rPr>
        <w:t>.</w:t>
      </w:r>
      <w:r>
        <w:rPr>
          <w:rFonts w:ascii="Arial"/>
          <w:sz w:val="14"/>
        </w:rPr>
        <w:t xml:space="preserve"> This approach is responsive to all stakeholders and has a different way of </w:t>
      </w:r>
      <w:r w:rsidR="00DF228A">
        <w:rPr>
          <w:rFonts w:ascii="Arial"/>
          <w:sz w:val="14"/>
        </w:rPr>
        <w:t xml:space="preserve">screening for Osteoporosis. </w:t>
      </w:r>
    </w:p>
    <w:p w:rsidR="00DF228A" w:rsidRDefault="00DF228A" w:rsidP="00DF228A">
      <w:pPr>
        <w:spacing w:before="41" w:line="154" w:lineRule="exact"/>
        <w:ind w:left="213" w:right="231"/>
        <w:jc w:val="center"/>
        <w:rPr>
          <w:rFonts w:ascii="Arial"/>
          <w:sz w:val="14"/>
        </w:rPr>
      </w:pPr>
      <w:r>
        <w:rPr>
          <w:rFonts w:ascii="Arial"/>
          <w:sz w:val="14"/>
        </w:rPr>
        <w:t>email:es630@sn.rutgerts.edu</w:t>
      </w:r>
    </w:p>
    <w:p w:rsidR="00805DEE" w:rsidRPr="00805DEE" w:rsidRDefault="00805DEE" w:rsidP="00DF228A">
      <w:pPr>
        <w:pStyle w:val="normal0"/>
        <w:pBdr>
          <w:top w:val="nil"/>
          <w:left w:val="nil"/>
          <w:bottom w:val="nil"/>
          <w:right w:val="nil"/>
          <w:between w:val="nil"/>
        </w:pBdr>
        <w:tabs>
          <w:tab w:val="left" w:pos="5640"/>
        </w:tabs>
        <w:spacing w:line="240" w:lineRule="atLeast"/>
        <w:ind w:hanging="720"/>
        <w:rPr>
          <w:rFonts w:ascii="Tw Cen MT" w:eastAsia="Times New Roman" w:hAnsi="Tw Cen MT" w:cs="Times New Roman"/>
          <w:color w:val="000000"/>
          <w:sz w:val="16"/>
          <w:szCs w:val="16"/>
        </w:rPr>
      </w:pPr>
    </w:p>
    <w:p w:rsidR="00805DEE" w:rsidRPr="00805DEE" w:rsidRDefault="00805DEE" w:rsidP="00805DEE">
      <w:pPr>
        <w:pStyle w:val="normal0"/>
        <w:pBdr>
          <w:top w:val="nil"/>
          <w:left w:val="nil"/>
          <w:bottom w:val="nil"/>
          <w:right w:val="nil"/>
          <w:between w:val="nil"/>
        </w:pBdr>
        <w:spacing w:line="240" w:lineRule="atLeast"/>
        <w:ind w:hanging="720"/>
        <w:rPr>
          <w:rFonts w:ascii="Tw Cen MT" w:eastAsia="Times New Roman" w:hAnsi="Tw Cen MT" w:cs="Times New Roman"/>
          <w:color w:val="000000"/>
          <w:sz w:val="16"/>
          <w:szCs w:val="16"/>
        </w:rPr>
      </w:pPr>
    </w:p>
    <w:p w:rsidR="00805DEE" w:rsidRPr="00E409C2" w:rsidRDefault="00805DEE" w:rsidP="00E409C2">
      <w:pPr>
        <w:pStyle w:val="normal0"/>
        <w:pBdr>
          <w:top w:val="nil"/>
          <w:left w:val="nil"/>
          <w:bottom w:val="nil"/>
          <w:right w:val="nil"/>
          <w:between w:val="nil"/>
        </w:pBdr>
        <w:spacing w:line="480" w:lineRule="auto"/>
        <w:rPr>
          <w:rFonts w:ascii="Tw Cen MT" w:eastAsia="Times New Roman" w:hAnsi="Tw Cen MT" w:cs="Times New Roman"/>
          <w:color w:val="000000"/>
          <w:sz w:val="18"/>
          <w:szCs w:val="18"/>
        </w:rPr>
      </w:pPr>
    </w:p>
    <w:sectPr w:rsidR="00805DEE" w:rsidRPr="00E409C2" w:rsidSect="000556AC">
      <w:type w:val="continuous"/>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C56A5" w:rsidRDefault="00EC56A5" w:rsidP="000556AC">
      <w:r>
        <w:separator/>
      </w:r>
    </w:p>
  </w:endnote>
  <w:endnote w:type="continuationSeparator" w:id="0">
    <w:p w:rsidR="00EC56A5" w:rsidRDefault="00EC56A5" w:rsidP="000556A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C56A5" w:rsidRDefault="00EC56A5" w:rsidP="000556AC">
      <w:r>
        <w:separator/>
      </w:r>
    </w:p>
  </w:footnote>
  <w:footnote w:type="continuationSeparator" w:id="0">
    <w:p w:rsidR="00EC56A5" w:rsidRDefault="00EC56A5" w:rsidP="000556A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E54219"/>
    <w:multiLevelType w:val="hybridMultilevel"/>
    <w:tmpl w:val="D5EC7378"/>
    <w:lvl w:ilvl="0" w:tplc="3F78308A">
      <w:start w:val="1"/>
      <w:numFmt w:val="bullet"/>
      <w:lvlText w:val="•"/>
      <w:lvlJc w:val="left"/>
      <w:pPr>
        <w:tabs>
          <w:tab w:val="num" w:pos="720"/>
        </w:tabs>
        <w:ind w:left="720" w:hanging="360"/>
      </w:pPr>
      <w:rPr>
        <w:rFonts w:ascii="Times New Roman" w:hAnsi="Times New Roman" w:hint="default"/>
      </w:rPr>
    </w:lvl>
    <w:lvl w:ilvl="1" w:tplc="898AFCF4" w:tentative="1">
      <w:start w:val="1"/>
      <w:numFmt w:val="bullet"/>
      <w:lvlText w:val="•"/>
      <w:lvlJc w:val="left"/>
      <w:pPr>
        <w:tabs>
          <w:tab w:val="num" w:pos="1440"/>
        </w:tabs>
        <w:ind w:left="1440" w:hanging="360"/>
      </w:pPr>
      <w:rPr>
        <w:rFonts w:ascii="Times New Roman" w:hAnsi="Times New Roman" w:hint="default"/>
      </w:rPr>
    </w:lvl>
    <w:lvl w:ilvl="2" w:tplc="C6D8D7BC" w:tentative="1">
      <w:start w:val="1"/>
      <w:numFmt w:val="bullet"/>
      <w:lvlText w:val="•"/>
      <w:lvlJc w:val="left"/>
      <w:pPr>
        <w:tabs>
          <w:tab w:val="num" w:pos="2160"/>
        </w:tabs>
        <w:ind w:left="2160" w:hanging="360"/>
      </w:pPr>
      <w:rPr>
        <w:rFonts w:ascii="Times New Roman" w:hAnsi="Times New Roman" w:hint="default"/>
      </w:rPr>
    </w:lvl>
    <w:lvl w:ilvl="3" w:tplc="FE580350" w:tentative="1">
      <w:start w:val="1"/>
      <w:numFmt w:val="bullet"/>
      <w:lvlText w:val="•"/>
      <w:lvlJc w:val="left"/>
      <w:pPr>
        <w:tabs>
          <w:tab w:val="num" w:pos="2880"/>
        </w:tabs>
        <w:ind w:left="2880" w:hanging="360"/>
      </w:pPr>
      <w:rPr>
        <w:rFonts w:ascii="Times New Roman" w:hAnsi="Times New Roman" w:hint="default"/>
      </w:rPr>
    </w:lvl>
    <w:lvl w:ilvl="4" w:tplc="5B485EEA" w:tentative="1">
      <w:start w:val="1"/>
      <w:numFmt w:val="bullet"/>
      <w:lvlText w:val="•"/>
      <w:lvlJc w:val="left"/>
      <w:pPr>
        <w:tabs>
          <w:tab w:val="num" w:pos="3600"/>
        </w:tabs>
        <w:ind w:left="3600" w:hanging="360"/>
      </w:pPr>
      <w:rPr>
        <w:rFonts w:ascii="Times New Roman" w:hAnsi="Times New Roman" w:hint="default"/>
      </w:rPr>
    </w:lvl>
    <w:lvl w:ilvl="5" w:tplc="A022D8D4" w:tentative="1">
      <w:start w:val="1"/>
      <w:numFmt w:val="bullet"/>
      <w:lvlText w:val="•"/>
      <w:lvlJc w:val="left"/>
      <w:pPr>
        <w:tabs>
          <w:tab w:val="num" w:pos="4320"/>
        </w:tabs>
        <w:ind w:left="4320" w:hanging="360"/>
      </w:pPr>
      <w:rPr>
        <w:rFonts w:ascii="Times New Roman" w:hAnsi="Times New Roman" w:hint="default"/>
      </w:rPr>
    </w:lvl>
    <w:lvl w:ilvl="6" w:tplc="D7600BA2" w:tentative="1">
      <w:start w:val="1"/>
      <w:numFmt w:val="bullet"/>
      <w:lvlText w:val="•"/>
      <w:lvlJc w:val="left"/>
      <w:pPr>
        <w:tabs>
          <w:tab w:val="num" w:pos="5040"/>
        </w:tabs>
        <w:ind w:left="5040" w:hanging="360"/>
      </w:pPr>
      <w:rPr>
        <w:rFonts w:ascii="Times New Roman" w:hAnsi="Times New Roman" w:hint="default"/>
      </w:rPr>
    </w:lvl>
    <w:lvl w:ilvl="7" w:tplc="945ABB98" w:tentative="1">
      <w:start w:val="1"/>
      <w:numFmt w:val="bullet"/>
      <w:lvlText w:val="•"/>
      <w:lvlJc w:val="left"/>
      <w:pPr>
        <w:tabs>
          <w:tab w:val="num" w:pos="5760"/>
        </w:tabs>
        <w:ind w:left="5760" w:hanging="360"/>
      </w:pPr>
      <w:rPr>
        <w:rFonts w:ascii="Times New Roman" w:hAnsi="Times New Roman" w:hint="default"/>
      </w:rPr>
    </w:lvl>
    <w:lvl w:ilvl="8" w:tplc="284C5D14" w:tentative="1">
      <w:start w:val="1"/>
      <w:numFmt w:val="bullet"/>
      <w:lvlText w:val="•"/>
      <w:lvlJc w:val="left"/>
      <w:pPr>
        <w:tabs>
          <w:tab w:val="num" w:pos="6480"/>
        </w:tabs>
        <w:ind w:left="6480" w:hanging="360"/>
      </w:pPr>
      <w:rPr>
        <w:rFonts w:ascii="Times New Roman" w:hAnsi="Times New Roman"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2C2611"/>
    <w:rsid w:val="000556AC"/>
    <w:rsid w:val="002011C2"/>
    <w:rsid w:val="002C2611"/>
    <w:rsid w:val="00516B7C"/>
    <w:rsid w:val="006321A4"/>
    <w:rsid w:val="007D5AA8"/>
    <w:rsid w:val="00805DEE"/>
    <w:rsid w:val="00902FBD"/>
    <w:rsid w:val="00937E1E"/>
    <w:rsid w:val="00AC4A89"/>
    <w:rsid w:val="00D84BB7"/>
    <w:rsid w:val="00DF228A"/>
    <w:rsid w:val="00E409C2"/>
    <w:rsid w:val="00EC56A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fill="f" fillcolor="#bbe0e3" stroke="f">
      <v:fill color="#bbe0e3" on="f"/>
      <v:stroke on="f"/>
      <v:shadow color="black"/>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ind w:left="72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5AA8"/>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2C2611"/>
    <w:pPr>
      <w:spacing w:line="276" w:lineRule="auto"/>
      <w:ind w:left="0" w:firstLine="0"/>
    </w:pPr>
    <w:rPr>
      <w:rFonts w:ascii="Arial" w:eastAsia="Arial" w:hAnsi="Arial" w:cs="Arial"/>
    </w:rPr>
  </w:style>
  <w:style w:type="paragraph" w:styleId="BodyText">
    <w:name w:val="Body Text"/>
    <w:basedOn w:val="Normal"/>
    <w:link w:val="BodyTextChar"/>
    <w:uiPriority w:val="1"/>
    <w:qFormat/>
    <w:rsid w:val="002C2611"/>
    <w:pPr>
      <w:widowControl w:val="0"/>
      <w:ind w:left="0" w:firstLine="0"/>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2C2611"/>
    <w:rPr>
      <w:rFonts w:ascii="Tw Cen MT" w:eastAsia="Tw Cen MT" w:hAnsi="Tw Cen MT" w:cs="Tw Cen MT"/>
      <w:sz w:val="18"/>
      <w:szCs w:val="18"/>
    </w:rPr>
  </w:style>
  <w:style w:type="paragraph" w:styleId="BalloonText">
    <w:name w:val="Balloon Text"/>
    <w:basedOn w:val="Normal"/>
    <w:link w:val="BalloonTextChar"/>
    <w:uiPriority w:val="99"/>
    <w:semiHidden/>
    <w:unhideWhenUsed/>
    <w:rsid w:val="00E409C2"/>
    <w:rPr>
      <w:rFonts w:ascii="Tahoma" w:hAnsi="Tahoma" w:cs="Tahoma"/>
      <w:sz w:val="16"/>
      <w:szCs w:val="16"/>
    </w:rPr>
  </w:style>
  <w:style w:type="character" w:customStyle="1" w:styleId="BalloonTextChar">
    <w:name w:val="Balloon Text Char"/>
    <w:basedOn w:val="DefaultParagraphFont"/>
    <w:link w:val="BalloonText"/>
    <w:uiPriority w:val="99"/>
    <w:semiHidden/>
    <w:rsid w:val="00E409C2"/>
    <w:rPr>
      <w:rFonts w:ascii="Tahoma" w:hAnsi="Tahoma" w:cs="Tahoma"/>
      <w:sz w:val="16"/>
      <w:szCs w:val="16"/>
    </w:rPr>
  </w:style>
  <w:style w:type="paragraph" w:styleId="Header">
    <w:name w:val="header"/>
    <w:basedOn w:val="Normal"/>
    <w:link w:val="HeaderChar"/>
    <w:uiPriority w:val="99"/>
    <w:semiHidden/>
    <w:unhideWhenUsed/>
    <w:rsid w:val="000556AC"/>
    <w:pPr>
      <w:tabs>
        <w:tab w:val="center" w:pos="4680"/>
        <w:tab w:val="right" w:pos="9360"/>
      </w:tabs>
    </w:pPr>
  </w:style>
  <w:style w:type="character" w:customStyle="1" w:styleId="HeaderChar">
    <w:name w:val="Header Char"/>
    <w:basedOn w:val="DefaultParagraphFont"/>
    <w:link w:val="Header"/>
    <w:uiPriority w:val="99"/>
    <w:semiHidden/>
    <w:rsid w:val="000556AC"/>
  </w:style>
  <w:style w:type="paragraph" w:styleId="Footer">
    <w:name w:val="footer"/>
    <w:basedOn w:val="Normal"/>
    <w:link w:val="FooterChar"/>
    <w:uiPriority w:val="99"/>
    <w:semiHidden/>
    <w:unhideWhenUsed/>
    <w:rsid w:val="000556AC"/>
    <w:pPr>
      <w:tabs>
        <w:tab w:val="center" w:pos="4680"/>
        <w:tab w:val="right" w:pos="9360"/>
      </w:tabs>
    </w:pPr>
  </w:style>
  <w:style w:type="character" w:customStyle="1" w:styleId="FooterChar">
    <w:name w:val="Footer Char"/>
    <w:basedOn w:val="DefaultParagraphFont"/>
    <w:link w:val="Footer"/>
    <w:uiPriority w:val="99"/>
    <w:semiHidden/>
    <w:rsid w:val="000556AC"/>
  </w:style>
  <w:style w:type="character" w:styleId="Hyperlink">
    <w:name w:val="Hyperlink"/>
    <w:basedOn w:val="DefaultParagraphFont"/>
    <w:uiPriority w:val="99"/>
    <w:unhideWhenUsed/>
    <w:rsid w:val="000556AC"/>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708338706">
      <w:bodyDiv w:val="1"/>
      <w:marLeft w:val="0"/>
      <w:marRight w:val="0"/>
      <w:marTop w:val="0"/>
      <w:marBottom w:val="0"/>
      <w:divBdr>
        <w:top w:val="none" w:sz="0" w:space="0" w:color="auto"/>
        <w:left w:val="none" w:sz="0" w:space="0" w:color="auto"/>
        <w:bottom w:val="none" w:sz="0" w:space="0" w:color="auto"/>
        <w:right w:val="none" w:sz="0" w:space="0" w:color="auto"/>
      </w:divBdr>
      <w:divsChild>
        <w:div w:id="347558519">
          <w:marLeft w:val="547"/>
          <w:marRight w:val="0"/>
          <w:marTop w:val="0"/>
          <w:marBottom w:val="0"/>
          <w:divBdr>
            <w:top w:val="none" w:sz="0" w:space="0" w:color="auto"/>
            <w:left w:val="none" w:sz="0" w:space="0" w:color="auto"/>
            <w:bottom w:val="none" w:sz="0" w:space="0" w:color="auto"/>
            <w:right w:val="none" w:sz="0" w:space="0" w:color="auto"/>
          </w:divBdr>
        </w:div>
        <w:div w:id="1051612856">
          <w:marLeft w:val="547"/>
          <w:marRight w:val="0"/>
          <w:marTop w:val="96"/>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Office_Word_Document1.docx"/><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emf"/><Relationship Id="rId5" Type="http://schemas.openxmlformats.org/officeDocument/2006/relationships/footnotes" Target="footnotes.xml"/><Relationship Id="rId10" Type="http://schemas.openxmlformats.org/officeDocument/2006/relationships/hyperlink" Target="http://doi.org/10.1111/j.1532-5415.2011.03837" TargetMode="External"/><Relationship Id="rId4" Type="http://schemas.openxmlformats.org/officeDocument/2006/relationships/webSettings" Target="webSettings.xml"/><Relationship Id="rId9" Type="http://schemas.openxmlformats.org/officeDocument/2006/relationships/hyperlink" Target="https://newsroom.clevelandclinic.org/wp-content/uploads/sites/4/2018/08/Cleveland-Clinic-MENtion-It-Survey-Results-2018.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3</Pages>
  <Words>1513</Words>
  <Characters>8630</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user1</cp:lastModifiedBy>
  <cp:revision>2</cp:revision>
  <dcterms:created xsi:type="dcterms:W3CDTF">2019-09-19T13:26:00Z</dcterms:created>
  <dcterms:modified xsi:type="dcterms:W3CDTF">2019-09-19T14:12:00Z</dcterms:modified>
</cp:coreProperties>
</file>