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139E6C27" w14:textId="5F199C5E" w:rsidR="00E50524" w:rsidRPr="00E50524" w:rsidRDefault="000538C0" w:rsidP="00E50524">
      <w:pPr>
        <w:pStyle w:val="1"/>
        <w:spacing w:before="170"/>
        <w:rPr>
          <w:color w:val="337AB7"/>
        </w:rPr>
      </w:pPr>
      <w:r>
        <w:rPr>
          <w:color w:val="337AB7"/>
          <w:lang w:eastAsia="ja-JP"/>
        </w:rPr>
        <w:t xml:space="preserve">Bone </w:t>
      </w:r>
      <w:r>
        <w:rPr>
          <w:rFonts w:hint="eastAsia"/>
          <w:color w:val="337AB7"/>
          <w:lang w:eastAsia="ja-JP"/>
        </w:rPr>
        <w:t>r</w:t>
      </w:r>
      <w:r>
        <w:rPr>
          <w:color w:val="337AB7"/>
        </w:rPr>
        <w:t>egeneration</w:t>
      </w:r>
      <w:r w:rsidR="00E50524" w:rsidRPr="00E50524">
        <w:rPr>
          <w:color w:val="337AB7"/>
        </w:rPr>
        <w:t xml:space="preserve"> using rhFGF-2-impregnated gelatin hydrogel for </w:t>
      </w:r>
      <w:r w:rsidR="005470BF">
        <w:rPr>
          <w:color w:val="337AB7"/>
        </w:rPr>
        <w:t xml:space="preserve">early-stage </w:t>
      </w:r>
      <w:r w:rsidR="00E50524" w:rsidRPr="00E50524">
        <w:rPr>
          <w:color w:val="337AB7"/>
        </w:rPr>
        <w:t>osteonecrosis of the femoral head</w:t>
      </w:r>
    </w:p>
    <w:p w14:paraId="3FA7DFEC" w14:textId="77777777" w:rsidR="00AE3E37" w:rsidRDefault="00AE3E37" w:rsidP="00494130">
      <w:pPr>
        <w:pStyle w:val="1"/>
        <w:spacing w:before="170"/>
        <w:ind w:left="0"/>
      </w:pPr>
    </w:p>
    <w:p w14:paraId="26462CB7" w14:textId="7EAE0FD5" w:rsidR="00E50524" w:rsidRPr="00E50524" w:rsidRDefault="00E50524" w:rsidP="00E50524">
      <w:pPr>
        <w:pStyle w:val="a3"/>
        <w:spacing w:before="73" w:line="198" w:lineRule="exact"/>
        <w:ind w:left="100" w:right="5987"/>
        <w:rPr>
          <w:rFonts w:ascii="Arial"/>
          <w:lang w:val="es-ES" w:eastAsia="ja-JP"/>
        </w:rPr>
      </w:pPr>
      <w:proofErr w:type="spellStart"/>
      <w:r w:rsidRPr="00E50524">
        <w:rPr>
          <w:rFonts w:ascii="Arial" w:hint="eastAsia"/>
          <w:lang w:val="es-ES"/>
        </w:rPr>
        <w:t>Yutaka</w:t>
      </w:r>
      <w:proofErr w:type="spellEnd"/>
      <w:r w:rsidRPr="00E50524">
        <w:rPr>
          <w:rFonts w:ascii="Arial" w:hint="eastAsia"/>
          <w:lang w:val="es-ES"/>
        </w:rPr>
        <w:t xml:space="preserve"> </w:t>
      </w:r>
      <w:proofErr w:type="spellStart"/>
      <w:r w:rsidRPr="00E50524">
        <w:rPr>
          <w:rFonts w:ascii="Arial" w:hint="eastAsia"/>
          <w:lang w:val="es-ES"/>
        </w:rPr>
        <w:t>Kuroda</w:t>
      </w:r>
      <w:proofErr w:type="spellEnd"/>
      <w:r w:rsidRPr="00E50524">
        <w:rPr>
          <w:rFonts w:ascii="Arial" w:hint="eastAsia"/>
          <w:lang w:val="es-ES"/>
        </w:rPr>
        <w:t xml:space="preserve">, </w:t>
      </w:r>
      <w:proofErr w:type="spellStart"/>
      <w:r>
        <w:rPr>
          <w:rFonts w:ascii="Arial"/>
          <w:lang w:val="es-ES"/>
        </w:rPr>
        <w:t>BEc</w:t>
      </w:r>
      <w:proofErr w:type="spellEnd"/>
      <w:r>
        <w:rPr>
          <w:rFonts w:ascii="Arial"/>
          <w:lang w:val="es-ES"/>
        </w:rPr>
        <w:t xml:space="preserve">, MD, PhD, </w:t>
      </w:r>
      <w:proofErr w:type="spellStart"/>
      <w:r w:rsidR="00612152">
        <w:rPr>
          <w:rFonts w:ascii="Arial"/>
          <w:lang w:val="es-ES"/>
        </w:rPr>
        <w:t>Kyoto</w:t>
      </w:r>
      <w:proofErr w:type="spellEnd"/>
      <w:r w:rsidR="00612152">
        <w:rPr>
          <w:rFonts w:ascii="Arial"/>
          <w:lang w:val="es-ES"/>
        </w:rPr>
        <w:t xml:space="preserve"> </w:t>
      </w:r>
      <w:proofErr w:type="spellStart"/>
      <w:r w:rsidR="00612152">
        <w:rPr>
          <w:rFonts w:ascii="Arial"/>
          <w:lang w:val="es-ES"/>
        </w:rPr>
        <w:t>U</w:t>
      </w:r>
      <w:r>
        <w:rPr>
          <w:rFonts w:ascii="Arial"/>
          <w:lang w:val="es-ES"/>
        </w:rPr>
        <w:t>niversity</w:t>
      </w:r>
      <w:proofErr w:type="spellEnd"/>
      <w:r>
        <w:rPr>
          <w:rFonts w:ascii="Arial"/>
          <w:lang w:val="es-ES"/>
        </w:rPr>
        <w:t xml:space="preserve">, </w:t>
      </w:r>
      <w:proofErr w:type="spellStart"/>
      <w:r>
        <w:rPr>
          <w:rFonts w:ascii="Arial"/>
          <w:lang w:val="es-ES"/>
        </w:rPr>
        <w:t>Japan</w:t>
      </w:r>
      <w:proofErr w:type="spellEnd"/>
    </w:p>
    <w:p w14:paraId="1E018B86" w14:textId="77777777" w:rsidR="00AE3E37" w:rsidRDefault="00AE3E37">
      <w:pPr>
        <w:pStyle w:val="a3"/>
        <w:rPr>
          <w:rFonts w:ascii="Arial"/>
          <w:sz w:val="20"/>
        </w:rPr>
      </w:pPr>
    </w:p>
    <w:p w14:paraId="3C5242F6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3ADFA27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067C967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D6E1B9E" w14:textId="77777777" w:rsidR="00FA50CE" w:rsidRPr="00FA50CE" w:rsidRDefault="00612152" w:rsidP="00FA50CE">
      <w:pPr>
        <w:pStyle w:val="a3"/>
        <w:spacing w:before="90" w:line="280" w:lineRule="auto"/>
        <w:ind w:left="100"/>
        <w:rPr>
          <w:bCs/>
        </w:rPr>
      </w:pPr>
      <w:r w:rsidRPr="00612152">
        <w:rPr>
          <w:bCs/>
        </w:rPr>
        <w:t>Osteonecrosis of the femoral head (ONFH) is a multifactorial disease that can cause femoral head collapse, pain, gait disorders. ONFH is common among young people in their 30s and 40s.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>In the clinic, although patients are diagnosed, 70%–80% of untreated patients experience femoral head collapse and have to undergo total hip arthroplasty</w:t>
      </w:r>
      <w:r w:rsidRPr="00612152">
        <w:rPr>
          <w:rFonts w:hint="eastAsia"/>
          <w:bCs/>
        </w:rPr>
        <w:t xml:space="preserve">. </w:t>
      </w:r>
      <w:r>
        <w:rPr>
          <w:bCs/>
        </w:rPr>
        <w:t>In the past decades</w:t>
      </w:r>
      <w:r w:rsidRPr="00612152">
        <w:rPr>
          <w:rFonts w:hint="eastAsia"/>
          <w:bCs/>
        </w:rPr>
        <w:t>, minimally invasive regenerative therapy has be</w:t>
      </w:r>
      <w:r w:rsidRPr="00612152">
        <w:rPr>
          <w:bCs/>
        </w:rPr>
        <w:t>en desired for the early stages of ONFH.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>The purpose of this study was to evaluate the safety and clinical outcomes</w:t>
      </w:r>
      <w:r w:rsidRPr="00612152">
        <w:rPr>
          <w:rFonts w:hint="eastAsia"/>
          <w:bCs/>
        </w:rPr>
        <w:t xml:space="preserve"> of rhFGF-2 gelatin hydrogel.</w:t>
      </w:r>
      <w:r w:rsidR="00C3458A">
        <w:rPr>
          <w:bCs/>
        </w:rPr>
        <w:t xml:space="preserve"> </w:t>
      </w:r>
      <w:r w:rsidRPr="00612152">
        <w:rPr>
          <w:rFonts w:hint="eastAsia"/>
          <w:bCs/>
        </w:rPr>
        <w:t>Ten ONFH patients up to precollapse s</w:t>
      </w:r>
      <w:r w:rsidRPr="00612152">
        <w:rPr>
          <w:bCs/>
        </w:rPr>
        <w:t>tage 2 underwent a single local administration of 800</w:t>
      </w:r>
      <w:r w:rsidRPr="00612152">
        <w:rPr>
          <w:rFonts w:hint="eastAsia"/>
          <w:bCs/>
        </w:rPr>
        <w:t>-μ</w:t>
      </w:r>
      <w:r w:rsidRPr="00612152">
        <w:rPr>
          <w:bCs/>
        </w:rPr>
        <w:t>g rhFGF-2 gelatin hydrogel and were followed up for one year. Primary outcomes included adverse events and complications. Secondary outcomes included changes in Harris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>Hip Scores, VAS pain scores, UCLA scores, radiological changes as determine</w:t>
      </w:r>
      <w:r w:rsidRPr="00612152">
        <w:rPr>
          <w:rFonts w:hint="eastAsia"/>
          <w:bCs/>
        </w:rPr>
        <w:t>d via X-ray, CT, and MRI images.</w:t>
      </w:r>
      <w:r w:rsidR="00C3458A">
        <w:rPr>
          <w:bCs/>
        </w:rPr>
        <w:t xml:space="preserve"> T</w:t>
      </w:r>
      <w:r w:rsidRPr="00612152">
        <w:rPr>
          <w:rFonts w:hint="eastAsia"/>
          <w:bCs/>
        </w:rPr>
        <w:t>here were 14 adverse events (five</w:t>
      </w:r>
      <w:r w:rsidRPr="00612152">
        <w:rPr>
          <w:bCs/>
        </w:rPr>
        <w:t xml:space="preserve"> patients). Patients completely recovered from all adverse events without problem.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>The surgery was performed with a minimally invasive technique (1 cm of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 xml:space="preserve">skin incision), and walking was allowed from the day after surgery. Mean clinical scores </w:t>
      </w:r>
      <w:r w:rsidR="00714BEF">
        <w:rPr>
          <w:bCs/>
        </w:rPr>
        <w:t>improved significantly after four</w:t>
      </w:r>
      <w:r w:rsidRPr="00612152">
        <w:rPr>
          <w:bCs/>
        </w:rPr>
        <w:t xml:space="preserve"> year</w:t>
      </w:r>
      <w:r w:rsidR="00714BEF">
        <w:rPr>
          <w:bCs/>
        </w:rPr>
        <w:t>s</w:t>
      </w:r>
      <w:r w:rsidRPr="00612152">
        <w:rPr>
          <w:bCs/>
        </w:rPr>
        <w:t xml:space="preserve"> compared with before surgery. There was only one case of femoral head collapse,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>and it had the greatest necrosis volume fraction and was considered to be in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>the early collapse stage at the time of operation. The other nine cases did</w:t>
      </w:r>
      <w:r w:rsidRPr="00612152">
        <w:rPr>
          <w:rFonts w:hint="eastAsia"/>
          <w:bCs/>
        </w:rPr>
        <w:t xml:space="preserve"> </w:t>
      </w:r>
      <w:r w:rsidRPr="00612152">
        <w:rPr>
          <w:bCs/>
        </w:rPr>
        <w:t xml:space="preserve">not involve ONFH stage progression, and collapse was prevented. CT </w:t>
      </w:r>
      <w:r w:rsidR="00714BEF">
        <w:rPr>
          <w:bCs/>
        </w:rPr>
        <w:t xml:space="preserve">and MRI </w:t>
      </w:r>
      <w:r w:rsidRPr="00612152">
        <w:rPr>
          <w:bCs/>
        </w:rPr>
        <w:t>images c</w:t>
      </w:r>
      <w:r w:rsidRPr="00612152">
        <w:rPr>
          <w:rFonts w:hint="eastAsia"/>
          <w:bCs/>
        </w:rPr>
        <w:t>onfirmed bone regeneration in the ONFH.</w:t>
      </w:r>
      <w:r w:rsidR="00C3458A">
        <w:rPr>
          <w:bCs/>
        </w:rPr>
        <w:t xml:space="preserve"> </w:t>
      </w:r>
      <w:r w:rsidRPr="00612152">
        <w:rPr>
          <w:rFonts w:hint="eastAsia"/>
          <w:bCs/>
        </w:rPr>
        <w:t>Clinical application o</w:t>
      </w:r>
      <w:r w:rsidRPr="00612152">
        <w:rPr>
          <w:bCs/>
        </w:rPr>
        <w:t>f rhFGF-2 gelatin hydrogel for precollapse stage of ONFH was feasible and safe.</w:t>
      </w:r>
      <w:r w:rsidR="00C3458A">
        <w:rPr>
          <w:bCs/>
        </w:rPr>
        <w:t xml:space="preserve"> </w:t>
      </w:r>
      <w:r w:rsidR="00FA50CE" w:rsidRPr="00FA50CE">
        <w:rPr>
          <w:bCs/>
        </w:rPr>
        <w:t xml:space="preserve">Our research is ongoing, further </w:t>
      </w:r>
      <w:r w:rsidR="00FA50CE" w:rsidRPr="00FA50CE">
        <w:rPr>
          <w:rFonts w:hint="eastAsia"/>
          <w:bCs/>
        </w:rPr>
        <w:t>p</w:t>
      </w:r>
      <w:r w:rsidR="00FA50CE" w:rsidRPr="00FA50CE">
        <w:rPr>
          <w:bCs/>
        </w:rPr>
        <w:t>hase II multiple center study has been started in January 2016.</w:t>
      </w:r>
    </w:p>
    <w:p w14:paraId="18A65407" w14:textId="32518146" w:rsidR="00AE3E37" w:rsidRDefault="00AE3E37">
      <w:pPr>
        <w:pStyle w:val="a3"/>
        <w:spacing w:before="90" w:line="280" w:lineRule="auto"/>
        <w:ind w:left="100"/>
        <w:jc w:val="both"/>
      </w:pPr>
    </w:p>
    <w:p w14:paraId="3FF261B1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09A9246" w14:textId="7CB5FF67" w:rsidR="00AE3E37" w:rsidRDefault="00AA2437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ja-JP"/>
        </w:rPr>
        <w:drawing>
          <wp:inline distT="0" distB="0" distL="0" distR="0" wp14:anchorId="21F640C2" wp14:editId="218384BE">
            <wp:extent cx="3672040" cy="1593012"/>
            <wp:effectExtent l="0" t="0" r="0" b="0"/>
            <wp:docPr id="2" name="図 2" descr="2018%20London/2018%20London%20abstr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8%20London/2018%20London%20abstract.pn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314" cy="160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A7280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EA23A0F" w14:textId="12ECD05B" w:rsidR="007179C5" w:rsidRPr="007179C5" w:rsidRDefault="007179C5" w:rsidP="007179C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7179C5">
        <w:rPr>
          <w:sz w:val="18"/>
        </w:rPr>
        <w:t>Kuroda Y</w:t>
      </w:r>
      <w:r>
        <w:rPr>
          <w:sz w:val="18"/>
        </w:rPr>
        <w:t xml:space="preserve"> et al (2016)</w:t>
      </w:r>
      <w:r w:rsidRPr="007179C5">
        <w:rPr>
          <w:sz w:val="18"/>
        </w:rPr>
        <w:t xml:space="preserve">  A pilot study of regenerative therapy using controlled release of rhFGF-2 for patients with precollapse osteonecrosis of the</w:t>
      </w:r>
      <w:r>
        <w:rPr>
          <w:sz w:val="18"/>
        </w:rPr>
        <w:t xml:space="preserve"> femoral head. </w:t>
      </w:r>
      <w:proofErr w:type="spellStart"/>
      <w:r>
        <w:rPr>
          <w:sz w:val="18"/>
        </w:rPr>
        <w:t>Int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Orthop</w:t>
      </w:r>
      <w:proofErr w:type="spellEnd"/>
      <w:r>
        <w:rPr>
          <w:sz w:val="18"/>
        </w:rPr>
        <w:t xml:space="preserve">. </w:t>
      </w:r>
      <w:r w:rsidRPr="007179C5">
        <w:rPr>
          <w:sz w:val="18"/>
        </w:rPr>
        <w:t xml:space="preserve">40(8):1747-54. </w:t>
      </w:r>
    </w:p>
    <w:p w14:paraId="413787FE" w14:textId="7407F003" w:rsidR="005973B9" w:rsidRDefault="007179C5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Kuroda </w:t>
      </w:r>
      <w:r w:rsidRPr="007179C5">
        <w:rPr>
          <w:sz w:val="18"/>
        </w:rPr>
        <w:t>Y</w:t>
      </w:r>
      <w:r>
        <w:rPr>
          <w:sz w:val="18"/>
        </w:rPr>
        <w:t xml:space="preserve"> et al (2016)</w:t>
      </w:r>
      <w:r w:rsidRPr="007179C5">
        <w:rPr>
          <w:sz w:val="18"/>
        </w:rPr>
        <w:t xml:space="preserve"> Joint-preserving regenerative therapy for patients with early-stage osteonecrosis of the femoral head. </w:t>
      </w:r>
      <w:bookmarkStart w:id="0" w:name="_GoBack"/>
      <w:bookmarkEnd w:id="0"/>
      <w:r w:rsidRPr="007179C5">
        <w:rPr>
          <w:sz w:val="18"/>
        </w:rPr>
        <w:t xml:space="preserve">Inflamm. </w:t>
      </w:r>
      <w:proofErr w:type="spellStart"/>
      <w:r w:rsidRPr="007179C5">
        <w:rPr>
          <w:sz w:val="18"/>
        </w:rPr>
        <w:t>Regener</w:t>
      </w:r>
      <w:proofErr w:type="spellEnd"/>
      <w:r>
        <w:rPr>
          <w:sz w:val="18"/>
        </w:rPr>
        <w:t xml:space="preserve">. </w:t>
      </w:r>
      <w:r w:rsidRPr="007179C5">
        <w:rPr>
          <w:sz w:val="18"/>
        </w:rPr>
        <w:t>36:4</w:t>
      </w:r>
      <w:r>
        <w:rPr>
          <w:sz w:val="18"/>
        </w:rPr>
        <w:t>.</w:t>
      </w:r>
      <w:r w:rsidRPr="007179C5">
        <w:rPr>
          <w:sz w:val="18"/>
        </w:rPr>
        <w:t xml:space="preserve"> </w:t>
      </w:r>
    </w:p>
    <w:p w14:paraId="068A6E32" w14:textId="7EE6B703" w:rsidR="007179C5" w:rsidRPr="007179C5" w:rsidRDefault="007179C5" w:rsidP="007179C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7179C5">
        <w:rPr>
          <w:sz w:val="18"/>
        </w:rPr>
        <w:t>Kuroda Y</w:t>
      </w:r>
      <w:r>
        <w:rPr>
          <w:sz w:val="18"/>
        </w:rPr>
        <w:t xml:space="preserve"> et al (2016)</w:t>
      </w:r>
      <w:r w:rsidRPr="007179C5">
        <w:rPr>
          <w:sz w:val="18"/>
        </w:rPr>
        <w:t xml:space="preserve"> Extremely early stage osteonecrosis of the femoral head in a patient with hip pain secondary systemic steroid pulse therapy for Vogt-Koyanagi-Harada synd</w:t>
      </w:r>
      <w:r>
        <w:rPr>
          <w:sz w:val="18"/>
        </w:rPr>
        <w:t xml:space="preserve">rome. </w:t>
      </w:r>
      <w:proofErr w:type="spellStart"/>
      <w:r>
        <w:rPr>
          <w:sz w:val="18"/>
        </w:rPr>
        <w:t>Int</w:t>
      </w:r>
      <w:proofErr w:type="spellEnd"/>
      <w:r>
        <w:rPr>
          <w:sz w:val="18"/>
        </w:rPr>
        <w:t xml:space="preserve"> J </w:t>
      </w:r>
      <w:proofErr w:type="spellStart"/>
      <w:r>
        <w:rPr>
          <w:sz w:val="18"/>
        </w:rPr>
        <w:t>Surg</w:t>
      </w:r>
      <w:proofErr w:type="spellEnd"/>
      <w:r>
        <w:rPr>
          <w:sz w:val="18"/>
        </w:rPr>
        <w:t xml:space="preserve"> Case Rep. </w:t>
      </w:r>
      <w:r w:rsidRPr="007179C5">
        <w:rPr>
          <w:sz w:val="18"/>
        </w:rPr>
        <w:t xml:space="preserve">25:97-101. </w:t>
      </w:r>
    </w:p>
    <w:p w14:paraId="744A480F" w14:textId="15BDC339" w:rsidR="007179C5" w:rsidRPr="007179C5" w:rsidRDefault="007179C5" w:rsidP="007179C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7179C5">
        <w:rPr>
          <w:sz w:val="18"/>
        </w:rPr>
        <w:t>Kuroda Y</w:t>
      </w:r>
      <w:r>
        <w:rPr>
          <w:sz w:val="18"/>
        </w:rPr>
        <w:t xml:space="preserve"> et al (2015)</w:t>
      </w:r>
      <w:r w:rsidRPr="007179C5">
        <w:rPr>
          <w:sz w:val="18"/>
        </w:rPr>
        <w:t xml:space="preserve"> A Report on Three Consecutive Cases using Computer Tomography 3D Preoperative Planning for Conversion of </w:t>
      </w:r>
      <w:proofErr w:type="spellStart"/>
      <w:r w:rsidRPr="007179C5">
        <w:rPr>
          <w:sz w:val="18"/>
        </w:rPr>
        <w:t>Arthrodesed</w:t>
      </w:r>
      <w:proofErr w:type="spellEnd"/>
      <w:r w:rsidRPr="007179C5">
        <w:rPr>
          <w:sz w:val="18"/>
        </w:rPr>
        <w:t xml:space="preserve"> Hips to Total Hip Repl</w:t>
      </w:r>
      <w:r>
        <w:rPr>
          <w:sz w:val="18"/>
        </w:rPr>
        <w:t xml:space="preserve">acements. HSS Journal. </w:t>
      </w:r>
      <w:r w:rsidRPr="007179C5">
        <w:rPr>
          <w:sz w:val="18"/>
        </w:rPr>
        <w:t>11(1):76-83.</w:t>
      </w:r>
    </w:p>
    <w:p w14:paraId="0A68FFE8" w14:textId="5713517B" w:rsidR="005973B9" w:rsidRPr="007179C5" w:rsidRDefault="007179C5" w:rsidP="007179C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7179C5">
        <w:rPr>
          <w:sz w:val="18"/>
        </w:rPr>
        <w:t>Kuroda Y</w:t>
      </w:r>
      <w:r>
        <w:rPr>
          <w:sz w:val="18"/>
        </w:rPr>
        <w:t xml:space="preserve"> et al (2015)</w:t>
      </w:r>
      <w:r w:rsidRPr="007179C5">
        <w:rPr>
          <w:sz w:val="18"/>
        </w:rPr>
        <w:t xml:space="preserve"> Modified </w:t>
      </w:r>
      <w:proofErr w:type="spellStart"/>
      <w:r w:rsidRPr="007179C5">
        <w:rPr>
          <w:sz w:val="18"/>
        </w:rPr>
        <w:t>Mostardi's</w:t>
      </w:r>
      <w:proofErr w:type="spellEnd"/>
      <w:r w:rsidRPr="007179C5">
        <w:rPr>
          <w:sz w:val="18"/>
        </w:rPr>
        <w:t xml:space="preserve"> approach with ultra-high molecular weight polyethylene tapes for total hip arthroplasty provides a good union rate of the </w:t>
      </w:r>
      <w:proofErr w:type="spellStart"/>
      <w:r w:rsidRPr="007179C5">
        <w:rPr>
          <w:sz w:val="18"/>
        </w:rPr>
        <w:t>osteotomized</w:t>
      </w:r>
      <w:proofErr w:type="spellEnd"/>
      <w:r w:rsidRPr="007179C5">
        <w:rPr>
          <w:sz w:val="18"/>
        </w:rPr>
        <w:t xml:space="preserve"> </w:t>
      </w:r>
      <w:r>
        <w:rPr>
          <w:sz w:val="18"/>
        </w:rPr>
        <w:t xml:space="preserve">fragment. J </w:t>
      </w:r>
      <w:proofErr w:type="spellStart"/>
      <w:r>
        <w:rPr>
          <w:sz w:val="18"/>
        </w:rPr>
        <w:t>Orthop</w:t>
      </w:r>
      <w:proofErr w:type="spellEnd"/>
      <w:r>
        <w:rPr>
          <w:sz w:val="18"/>
        </w:rPr>
        <w:t xml:space="preserve"> Sci. 20(4):633-41.</w:t>
      </w:r>
    </w:p>
    <w:p w14:paraId="330D1924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88A586A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E6EA849" w14:textId="77777777" w:rsidR="00AE3E37" w:rsidRDefault="00AE3E37">
      <w:pPr>
        <w:pStyle w:val="a3"/>
        <w:rPr>
          <w:rFonts w:ascii="Calibri"/>
          <w:sz w:val="20"/>
        </w:rPr>
      </w:pPr>
    </w:p>
    <w:p w14:paraId="463AC0D3" w14:textId="77777777" w:rsidR="00AE3E37" w:rsidRDefault="008D1557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 w14:anchorId="0943C2CF"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14:paraId="5704435B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eastAsia="ja-JP"/>
        </w:rPr>
        <w:drawing>
          <wp:inline distT="0" distB="0" distL="0" distR="0" wp14:anchorId="07954303" wp14:editId="04388C5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998D8B1" w14:textId="67B285EE" w:rsidR="00AE3E37" w:rsidRDefault="00E505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E50524">
        <w:rPr>
          <w:rFonts w:ascii="Arial"/>
          <w:bCs/>
          <w:sz w:val="14"/>
        </w:rPr>
        <w:t>Dr</w:t>
      </w:r>
      <w:r w:rsidRPr="00E50524">
        <w:rPr>
          <w:rFonts w:ascii="Arial" w:hint="eastAsia"/>
          <w:bCs/>
          <w:sz w:val="14"/>
        </w:rPr>
        <w:t>.</w:t>
      </w:r>
      <w:r w:rsidRPr="00E50524">
        <w:rPr>
          <w:rFonts w:ascii="Arial"/>
          <w:bCs/>
          <w:sz w:val="14"/>
        </w:rPr>
        <w:t xml:space="preserve"> </w:t>
      </w:r>
      <w:r w:rsidRPr="00E50524">
        <w:rPr>
          <w:rFonts w:ascii="Arial" w:hint="eastAsia"/>
          <w:bCs/>
          <w:sz w:val="14"/>
        </w:rPr>
        <w:t>Yutaka Kuroda</w:t>
      </w:r>
      <w:r w:rsidRPr="00E50524">
        <w:rPr>
          <w:rFonts w:ascii="Arial"/>
          <w:bCs/>
          <w:sz w:val="14"/>
        </w:rPr>
        <w:t>, Medicine Doctor (Ph</w:t>
      </w:r>
      <w:r w:rsidRPr="00E50524">
        <w:rPr>
          <w:rFonts w:ascii="Arial" w:hint="eastAsia"/>
          <w:bCs/>
          <w:sz w:val="14"/>
        </w:rPr>
        <w:t>.</w:t>
      </w:r>
      <w:r w:rsidRPr="00E50524">
        <w:rPr>
          <w:rFonts w:ascii="Arial"/>
          <w:bCs/>
          <w:sz w:val="14"/>
        </w:rPr>
        <w:t>D</w:t>
      </w:r>
      <w:r w:rsidRPr="00E50524">
        <w:rPr>
          <w:rFonts w:ascii="Arial" w:hint="eastAsia"/>
          <w:bCs/>
          <w:sz w:val="14"/>
        </w:rPr>
        <w:t>.</w:t>
      </w:r>
      <w:r w:rsidRPr="00E50524">
        <w:rPr>
          <w:rFonts w:ascii="Arial"/>
          <w:bCs/>
          <w:sz w:val="14"/>
        </w:rPr>
        <w:t>-medicine),</w:t>
      </w:r>
      <w:r w:rsidRPr="00E50524">
        <w:rPr>
          <w:rFonts w:ascii="Arial" w:hint="eastAsia"/>
          <w:bCs/>
          <w:sz w:val="14"/>
        </w:rPr>
        <w:t xml:space="preserve"> now is an</w:t>
      </w:r>
      <w:r w:rsidRPr="00E50524">
        <w:rPr>
          <w:rFonts w:ascii="Arial"/>
          <w:bCs/>
          <w:sz w:val="14"/>
        </w:rPr>
        <w:t xml:space="preserve"> Ass</w:t>
      </w:r>
      <w:r w:rsidRPr="00E50524">
        <w:rPr>
          <w:rFonts w:ascii="Arial" w:hint="eastAsia"/>
          <w:bCs/>
          <w:sz w:val="14"/>
        </w:rPr>
        <w:t xml:space="preserve">istant </w:t>
      </w:r>
      <w:r w:rsidRPr="00E50524">
        <w:rPr>
          <w:rFonts w:ascii="Arial"/>
          <w:bCs/>
          <w:sz w:val="14"/>
        </w:rPr>
        <w:t xml:space="preserve">professor of </w:t>
      </w:r>
      <w:r w:rsidRPr="00E50524">
        <w:rPr>
          <w:rFonts w:ascii="Arial" w:hint="eastAsia"/>
          <w:bCs/>
          <w:sz w:val="14"/>
        </w:rPr>
        <w:t xml:space="preserve">Department of Orthopaedic surgery, Kyoto university. In 1994, was received the B.E. degree in Economics from Keio university, got medical doctor license at </w:t>
      </w:r>
      <w:r w:rsidRPr="00E50524">
        <w:rPr>
          <w:rFonts w:ascii="Arial"/>
          <w:bCs/>
          <w:sz w:val="14"/>
        </w:rPr>
        <w:t>St. Marianna</w:t>
      </w:r>
      <w:r w:rsidRPr="00E50524">
        <w:rPr>
          <w:rFonts w:ascii="Arial" w:hint="eastAsia"/>
          <w:bCs/>
          <w:sz w:val="14"/>
        </w:rPr>
        <w:t xml:space="preserve"> university school of medicine in 1999, and </w:t>
      </w:r>
      <w:r w:rsidRPr="00E50524">
        <w:rPr>
          <w:rFonts w:ascii="Arial"/>
          <w:bCs/>
          <w:sz w:val="14"/>
        </w:rPr>
        <w:t>Medicine Doctor's degree (Ph.D.</w:t>
      </w:r>
      <w:r w:rsidRPr="00E50524">
        <w:rPr>
          <w:rFonts w:ascii="Arial" w:hint="eastAsia"/>
          <w:bCs/>
          <w:sz w:val="14"/>
        </w:rPr>
        <w:t xml:space="preserve">) at </w:t>
      </w:r>
      <w:r w:rsidRPr="00E50524">
        <w:rPr>
          <w:rFonts w:ascii="Arial"/>
          <w:bCs/>
          <w:sz w:val="14"/>
        </w:rPr>
        <w:t>Graduate School of Medicine, Kyoto University</w:t>
      </w:r>
      <w:r w:rsidRPr="00E50524">
        <w:rPr>
          <w:rFonts w:ascii="Arial" w:hint="eastAsia"/>
          <w:bCs/>
          <w:sz w:val="14"/>
        </w:rPr>
        <w:t xml:space="preserve"> in 2011. </w:t>
      </w:r>
      <w:r w:rsidRPr="00E50524">
        <w:rPr>
          <w:rFonts w:ascii="Arial"/>
          <w:bCs/>
          <w:sz w:val="14"/>
        </w:rPr>
        <w:t>Dr. Yutaka Kuroda</w:t>
      </w:r>
      <w:r w:rsidRPr="00E50524">
        <w:rPr>
          <w:rFonts w:ascii="Arial"/>
          <w:bCs/>
          <w:sz w:val="14"/>
        </w:rPr>
        <w:t>’</w:t>
      </w:r>
      <w:r w:rsidRPr="00E50524">
        <w:rPr>
          <w:rFonts w:ascii="Arial" w:hint="eastAsia"/>
          <w:bCs/>
          <w:sz w:val="14"/>
        </w:rPr>
        <w:t xml:space="preserve">s </w:t>
      </w:r>
      <w:r w:rsidRPr="00E50524">
        <w:rPr>
          <w:rFonts w:ascii="Arial"/>
          <w:bCs/>
          <w:sz w:val="14"/>
        </w:rPr>
        <w:t>researche</w:t>
      </w:r>
      <w:r>
        <w:rPr>
          <w:rFonts w:ascii="Arial" w:hint="eastAsia"/>
          <w:bCs/>
          <w:sz w:val="14"/>
        </w:rPr>
        <w:t xml:space="preserve">s focus on the </w:t>
      </w:r>
      <w:r w:rsidRPr="00E50524">
        <w:rPr>
          <w:rFonts w:ascii="Arial" w:hint="eastAsia"/>
          <w:bCs/>
          <w:sz w:val="14"/>
        </w:rPr>
        <w:t xml:space="preserve">bone regeneration using growth factor and osteonecrosis of the femoral head. A Research Award from </w:t>
      </w:r>
      <w:r w:rsidRPr="00E50524">
        <w:rPr>
          <w:rFonts w:ascii="Arial"/>
          <w:bCs/>
          <w:sz w:val="14"/>
        </w:rPr>
        <w:t>“</w:t>
      </w:r>
      <w:r w:rsidRPr="00E50524">
        <w:rPr>
          <w:rFonts w:ascii="Arial"/>
          <w:bCs/>
          <w:sz w:val="14"/>
        </w:rPr>
        <w:t>The Japanese Society of Inflammation and Regeneration</w:t>
      </w:r>
      <w:r w:rsidRPr="00E50524">
        <w:rPr>
          <w:rFonts w:ascii="Arial" w:hint="eastAsia"/>
          <w:bCs/>
          <w:sz w:val="14"/>
        </w:rPr>
        <w:t xml:space="preserve"> 2014 </w:t>
      </w:r>
      <w:r w:rsidR="004310CE">
        <w:rPr>
          <w:rFonts w:ascii="Arial"/>
          <w:bCs/>
          <w:sz w:val="14"/>
        </w:rPr>
        <w:t xml:space="preserve">and 2016 </w:t>
      </w:r>
      <w:r w:rsidRPr="00E50524">
        <w:rPr>
          <w:rFonts w:ascii="Arial" w:hint="eastAsia"/>
          <w:bCs/>
          <w:sz w:val="14"/>
        </w:rPr>
        <w:t>meeting</w:t>
      </w:r>
      <w:r w:rsidRPr="00E50524">
        <w:rPr>
          <w:rFonts w:ascii="Arial"/>
          <w:bCs/>
          <w:sz w:val="14"/>
        </w:rPr>
        <w:t>”</w:t>
      </w:r>
      <w:r w:rsidRPr="00E50524">
        <w:rPr>
          <w:rFonts w:ascii="Arial" w:hint="eastAsia"/>
          <w:bCs/>
          <w:sz w:val="14"/>
        </w:rPr>
        <w:t xml:space="preserve">. </w:t>
      </w:r>
      <w:r w:rsidRPr="00E50524">
        <w:rPr>
          <w:rFonts w:ascii="Arial"/>
          <w:bCs/>
          <w:sz w:val="14"/>
        </w:rPr>
        <w:t>Member of the</w:t>
      </w:r>
      <w:r w:rsidRPr="00E50524">
        <w:rPr>
          <w:rFonts w:ascii="Arial"/>
          <w:sz w:val="14"/>
        </w:rPr>
        <w:t xml:space="preserve"> </w:t>
      </w:r>
      <w:r w:rsidRPr="00E50524">
        <w:rPr>
          <w:rFonts w:ascii="Arial"/>
          <w:bCs/>
          <w:sz w:val="14"/>
        </w:rPr>
        <w:t>Japanese Investigation Committee of Health and Welfare</w:t>
      </w:r>
      <w:r w:rsidRPr="00E50524">
        <w:rPr>
          <w:rFonts w:ascii="Arial" w:hint="eastAsia"/>
          <w:bCs/>
          <w:sz w:val="14"/>
        </w:rPr>
        <w:t xml:space="preserve"> on the establishment of guidelines for </w:t>
      </w:r>
      <w:r w:rsidRPr="00E50524">
        <w:rPr>
          <w:rFonts w:ascii="Arial"/>
          <w:bCs/>
          <w:sz w:val="14"/>
        </w:rPr>
        <w:t>Osteonecrosis of the femoral head</w:t>
      </w:r>
      <w:r w:rsidRPr="00E50524">
        <w:rPr>
          <w:rFonts w:ascii="Arial" w:hint="eastAsia"/>
          <w:bCs/>
          <w:sz w:val="14"/>
        </w:rPr>
        <w:t xml:space="preserve">. </w:t>
      </w:r>
    </w:p>
    <w:p w14:paraId="57BDE7F3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50524" w:rsidRPr="00DF7900">
          <w:rPr>
            <w:rStyle w:val="ac"/>
            <w:rFonts w:ascii="Arial"/>
            <w:sz w:val="14"/>
          </w:rPr>
          <w:t>ykuromd@gmail.com</w:t>
        </w:r>
      </w:hyperlink>
    </w:p>
    <w:p w14:paraId="2B783377" w14:textId="77777777" w:rsidR="00AE3E37" w:rsidRDefault="008D1557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 w14:anchorId="086C3BE0"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14:paraId="3D5B1C12" w14:textId="77777777" w:rsidR="00AE3E37" w:rsidRDefault="00AE3E37">
      <w:pPr>
        <w:pStyle w:val="a3"/>
        <w:rPr>
          <w:rFonts w:ascii="Arial"/>
          <w:sz w:val="20"/>
        </w:rPr>
      </w:pPr>
    </w:p>
    <w:p w14:paraId="1159C2F3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69CE8417" w14:textId="4C06E69E" w:rsidR="00AE3E37" w:rsidRPr="00B635BA" w:rsidRDefault="00A9710C" w:rsidP="00B635BA">
      <w:pPr>
        <w:spacing w:before="39"/>
        <w:ind w:left="100"/>
        <w:rPr>
          <w:rFonts w:ascii="Minion Pro"/>
          <w:b/>
          <w:sz w:val="20"/>
        </w:rPr>
        <w:sectPr w:rsidR="00AE3E37" w:rsidRPr="00B635B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32AE5EEB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69E4E6DD" w14:textId="77777777" w:rsidR="008D1557" w:rsidRDefault="008D1557">
      <w:r>
        <w:separator/>
      </w:r>
    </w:p>
  </w:endnote>
  <w:endnote w:type="continuationSeparator" w:id="0">
    <w:p w14:paraId="0AADE4B4" w14:textId="77777777" w:rsidR="008D1557" w:rsidRDefault="008D1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4DCBA0E" w14:textId="77777777" w:rsidR="00AE3E37" w:rsidRDefault="008D1557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 w14:anchorId="0E98AC0A">
        <v:shapetype id="_x0000_t202" coordsize="21600,21600" o:spt="202" path="m0,0l0,21600,21600,21600,21600,0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14:paraId="52260D84" w14:textId="77777777"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18E16669" w14:textId="77777777"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120CB029"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14:paraId="37E3D250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3A0828FF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0BCED509"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14:paraId="7B8E996F" w14:textId="77777777"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14:paraId="28A12E03" w14:textId="77777777"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4DC7F176" w14:textId="77777777" w:rsidR="008D1557" w:rsidRDefault="008D1557">
      <w:r>
        <w:separator/>
      </w:r>
    </w:p>
  </w:footnote>
  <w:footnote w:type="continuationSeparator" w:id="0">
    <w:p w14:paraId="7D7D99B9" w14:textId="77777777" w:rsidR="008D1557" w:rsidRDefault="008D155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85AA10" w14:textId="77777777" w:rsidR="00AE3E37" w:rsidRDefault="008D1557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 w14:anchorId="2BEB5BF9">
        <v:shapetype id="_x0000_t202" coordsize="21600,21600" o:spt="202" path="m0,0l0,21600,21600,21600,21600,0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14:paraId="18CF8055" w14:textId="77777777"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7F3425BC"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14:paraId="656F4FB9" w14:textId="77777777"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7A524AB0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DDC2614"/>
    <w:multiLevelType w:val="hybridMultilevel"/>
    <w:tmpl w:val="116E28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61A100D"/>
    <w:multiLevelType w:val="hybridMultilevel"/>
    <w:tmpl w:val="116E28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E3E37"/>
    <w:rsid w:val="00044552"/>
    <w:rsid w:val="000538C0"/>
    <w:rsid w:val="000E2911"/>
    <w:rsid w:val="001263DF"/>
    <w:rsid w:val="00292ED9"/>
    <w:rsid w:val="00362333"/>
    <w:rsid w:val="00404E5B"/>
    <w:rsid w:val="00414F7B"/>
    <w:rsid w:val="0042758D"/>
    <w:rsid w:val="004310CE"/>
    <w:rsid w:val="004355DC"/>
    <w:rsid w:val="004749B4"/>
    <w:rsid w:val="00491B01"/>
    <w:rsid w:val="00494130"/>
    <w:rsid w:val="004F3523"/>
    <w:rsid w:val="005470BF"/>
    <w:rsid w:val="005712A4"/>
    <w:rsid w:val="005973B9"/>
    <w:rsid w:val="005B3A56"/>
    <w:rsid w:val="006060CE"/>
    <w:rsid w:val="00612152"/>
    <w:rsid w:val="0063497F"/>
    <w:rsid w:val="00714BEF"/>
    <w:rsid w:val="007179C5"/>
    <w:rsid w:val="007863B4"/>
    <w:rsid w:val="007E2F3A"/>
    <w:rsid w:val="00873DF0"/>
    <w:rsid w:val="008756E6"/>
    <w:rsid w:val="008D1557"/>
    <w:rsid w:val="00936165"/>
    <w:rsid w:val="00972752"/>
    <w:rsid w:val="009B2D44"/>
    <w:rsid w:val="00A07E82"/>
    <w:rsid w:val="00A86EC9"/>
    <w:rsid w:val="00A9710C"/>
    <w:rsid w:val="00AA2437"/>
    <w:rsid w:val="00AE3E37"/>
    <w:rsid w:val="00B21A57"/>
    <w:rsid w:val="00B635BA"/>
    <w:rsid w:val="00B73F8B"/>
    <w:rsid w:val="00C33602"/>
    <w:rsid w:val="00C3458A"/>
    <w:rsid w:val="00C6733D"/>
    <w:rsid w:val="00CD6F55"/>
    <w:rsid w:val="00DE3104"/>
    <w:rsid w:val="00E50524"/>
    <w:rsid w:val="00EC7B82"/>
    <w:rsid w:val="00F53956"/>
    <w:rsid w:val="00F72EEA"/>
    <w:rsid w:val="00F84CAE"/>
    <w:rsid w:val="00FA50CE"/>
    <w:rsid w:val="00FB6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3BDF1D0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E505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ykuromd@g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581</Words>
  <Characters>3317</Characters>
  <Application>Microsoft Macintosh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ユーザー</cp:lastModifiedBy>
  <cp:revision>20</cp:revision>
  <dcterms:created xsi:type="dcterms:W3CDTF">2016-12-02T11:11:00Z</dcterms:created>
  <dcterms:modified xsi:type="dcterms:W3CDTF">2017-11-14T01:34:00Z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