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3C61AE"/>
          <w:sz w:val="20"/>
          <w:szCs w:val="20"/>
        </w:rPr>
      </w:pPr>
      <w:r>
        <w:rPr>
          <w:rFonts w:ascii="Garamond-Bold" w:hAnsi="Garamond-Bold" w:cs="Garamond-Bold"/>
          <w:b/>
          <w:bCs/>
          <w:sz w:val="24"/>
          <w:szCs w:val="24"/>
        </w:rPr>
        <w:t xml:space="preserve">The Highly Variable Typologies of Posterior </w:t>
      </w:r>
      <w:proofErr w:type="spellStart"/>
      <w:r>
        <w:rPr>
          <w:rFonts w:ascii="Garamond-Bold" w:hAnsi="Garamond-Bold" w:cs="Garamond-Bold"/>
          <w:b/>
          <w:bCs/>
          <w:sz w:val="24"/>
          <w:szCs w:val="24"/>
        </w:rPr>
        <w:t>Malleolus</w:t>
      </w:r>
      <w:proofErr w:type="spellEnd"/>
      <w:r>
        <w:rPr>
          <w:rFonts w:ascii="Garamond-Bold" w:hAnsi="Garamond-Bold" w:cs="Garamond-Bold"/>
          <w:b/>
          <w:bCs/>
          <w:sz w:val="24"/>
          <w:szCs w:val="24"/>
        </w:rPr>
        <w:t xml:space="preserve"> Fractures of the Ankle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3C61AE"/>
          <w:sz w:val="20"/>
          <w:szCs w:val="20"/>
        </w:rPr>
      </w:pP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3C61AE"/>
          <w:sz w:val="20"/>
          <w:szCs w:val="20"/>
        </w:rPr>
      </w:pPr>
      <w:r>
        <w:rPr>
          <w:rFonts w:ascii="Garamond-Bold" w:hAnsi="Garamond-Bold" w:cs="Garamond-Bold"/>
          <w:b/>
          <w:bCs/>
          <w:color w:val="3C61AE"/>
          <w:sz w:val="20"/>
          <w:szCs w:val="20"/>
        </w:rPr>
        <w:t>Abstract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r>
        <w:rPr>
          <w:rFonts w:ascii="Garamond-Bold" w:hAnsi="Garamond-Bold" w:cs="Garamond-Bold"/>
          <w:b/>
          <w:bCs/>
          <w:color w:val="000000"/>
          <w:sz w:val="18"/>
          <w:szCs w:val="18"/>
        </w:rPr>
        <w:t xml:space="preserve">Objectives: </w:t>
      </w:r>
      <w:r>
        <w:rPr>
          <w:rFonts w:ascii="Garamond" w:hAnsi="Garamond" w:cs="Garamond"/>
          <w:color w:val="000000"/>
          <w:sz w:val="18"/>
          <w:szCs w:val="18"/>
        </w:rPr>
        <w:t xml:space="preserve">Although historical studies frequently classify posterior </w:t>
      </w:r>
      <w:proofErr w:type="spellStart"/>
      <w:r>
        <w:rPr>
          <w:rFonts w:ascii="Garamond" w:hAnsi="Garamond" w:cs="Garamond"/>
          <w:color w:val="000000"/>
          <w:sz w:val="18"/>
          <w:szCs w:val="18"/>
        </w:rPr>
        <w:t>malleolus</w:t>
      </w:r>
      <w:proofErr w:type="spellEnd"/>
      <w:r>
        <w:rPr>
          <w:rFonts w:ascii="Garamond" w:hAnsi="Garamond" w:cs="Garamond"/>
          <w:color w:val="000000"/>
          <w:sz w:val="18"/>
          <w:szCs w:val="18"/>
        </w:rPr>
        <w:t xml:space="preserve"> fractures (PMFs) according to fragment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size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>, our hypothesis is that PMFs have more complex patterns than is widely recognized. None of the studies so far have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provided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 a comprehensive picture of the complexity of PMFs or guidelines for surgical decision making. The optimal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management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 of PMFs is still unclear. This study aims to look at the typology of PMFs using a combination of initial injury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radiographs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, preoperative computed </w:t>
      </w:r>
      <w:proofErr w:type="spellStart"/>
      <w:r>
        <w:rPr>
          <w:rFonts w:ascii="Garamond" w:hAnsi="Garamond" w:cs="Garamond"/>
          <w:color w:val="000000"/>
          <w:sz w:val="18"/>
          <w:szCs w:val="18"/>
        </w:rPr>
        <w:t>tomographic</w:t>
      </w:r>
      <w:proofErr w:type="spellEnd"/>
      <w:r>
        <w:rPr>
          <w:rFonts w:ascii="Garamond" w:hAnsi="Garamond" w:cs="Garamond"/>
          <w:color w:val="000000"/>
          <w:sz w:val="18"/>
          <w:szCs w:val="18"/>
        </w:rPr>
        <w:t xml:space="preserve"> (CT) scans, and intra-operative image intensifier (II) screening, as well as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fixation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 technique and a surgery fixation approach, in order to gain insight into PMFs.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r>
        <w:rPr>
          <w:rFonts w:ascii="Garamond-Bold" w:hAnsi="Garamond-Bold" w:cs="Garamond-Bold"/>
          <w:b/>
          <w:bCs/>
          <w:color w:val="000000"/>
          <w:sz w:val="18"/>
          <w:szCs w:val="18"/>
        </w:rPr>
        <w:t xml:space="preserve">Methods: </w:t>
      </w:r>
      <w:r>
        <w:rPr>
          <w:rFonts w:ascii="Garamond" w:hAnsi="Garamond" w:cs="Garamond"/>
          <w:color w:val="000000"/>
          <w:sz w:val="18"/>
          <w:szCs w:val="18"/>
        </w:rPr>
        <w:t>Between 2013 and 2015, 56 consecutive patients, all with bi- or tri-</w:t>
      </w:r>
      <w:proofErr w:type="spellStart"/>
      <w:r>
        <w:rPr>
          <w:rFonts w:ascii="Garamond" w:hAnsi="Garamond" w:cs="Garamond"/>
          <w:color w:val="000000"/>
          <w:sz w:val="18"/>
          <w:szCs w:val="18"/>
        </w:rPr>
        <w:t>malleolar</w:t>
      </w:r>
      <w:proofErr w:type="spellEnd"/>
      <w:r>
        <w:rPr>
          <w:rFonts w:ascii="Garamond" w:hAnsi="Garamond" w:cs="Garamond"/>
          <w:color w:val="000000"/>
          <w:sz w:val="18"/>
          <w:szCs w:val="18"/>
        </w:rPr>
        <w:t xml:space="preserve"> fracture or dislocation of ankle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joints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, with one or more posterior fragments, who were treated at our institute, were identified. We retrospectively </w:t>
      </w:r>
      <w:proofErr w:type="spellStart"/>
      <w:r>
        <w:rPr>
          <w:rFonts w:ascii="Garamond" w:hAnsi="Garamond" w:cs="Garamond"/>
          <w:color w:val="000000"/>
          <w:sz w:val="18"/>
          <w:szCs w:val="18"/>
        </w:rPr>
        <w:t>analysed</w:t>
      </w:r>
      <w:proofErr w:type="spellEnd"/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the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 patients’ preoperative initial injury radiographs, CT scans, and II data to see the stability of the ankle joints in coronal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and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 </w:t>
      </w:r>
      <w:proofErr w:type="spellStart"/>
      <w:r>
        <w:rPr>
          <w:rFonts w:ascii="Garamond" w:hAnsi="Garamond" w:cs="Garamond"/>
          <w:color w:val="000000"/>
          <w:sz w:val="18"/>
          <w:szCs w:val="18"/>
        </w:rPr>
        <w:t>sagittal</w:t>
      </w:r>
      <w:proofErr w:type="spellEnd"/>
      <w:r>
        <w:rPr>
          <w:rFonts w:ascii="Garamond" w:hAnsi="Garamond" w:cs="Garamond"/>
          <w:color w:val="000000"/>
          <w:sz w:val="18"/>
          <w:szCs w:val="18"/>
        </w:rPr>
        <w:t xml:space="preserve"> planes, and look at the typology in relation to fracture fixation technique and surgery fixation approach.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r>
        <w:rPr>
          <w:rFonts w:ascii="Garamond-Bold" w:hAnsi="Garamond-Bold" w:cs="Garamond-Bold"/>
          <w:b/>
          <w:bCs/>
          <w:color w:val="000000"/>
          <w:sz w:val="18"/>
          <w:szCs w:val="18"/>
        </w:rPr>
        <w:t xml:space="preserve">Conclusions: </w:t>
      </w:r>
      <w:r>
        <w:rPr>
          <w:rFonts w:ascii="Garamond" w:hAnsi="Garamond" w:cs="Garamond"/>
          <w:color w:val="000000"/>
          <w:sz w:val="18"/>
          <w:szCs w:val="18"/>
        </w:rPr>
        <w:t>Bi- or tri-</w:t>
      </w:r>
      <w:proofErr w:type="spellStart"/>
      <w:r>
        <w:rPr>
          <w:rFonts w:ascii="Garamond" w:hAnsi="Garamond" w:cs="Garamond"/>
          <w:color w:val="000000"/>
          <w:sz w:val="18"/>
          <w:szCs w:val="18"/>
        </w:rPr>
        <w:t>malleolar</w:t>
      </w:r>
      <w:proofErr w:type="spellEnd"/>
      <w:r>
        <w:rPr>
          <w:rFonts w:ascii="Garamond" w:hAnsi="Garamond" w:cs="Garamond"/>
          <w:color w:val="000000"/>
          <w:sz w:val="18"/>
          <w:szCs w:val="18"/>
        </w:rPr>
        <w:t xml:space="preserve"> fractures of the ankle with associated posterior </w:t>
      </w:r>
      <w:proofErr w:type="spellStart"/>
      <w:r>
        <w:rPr>
          <w:rFonts w:ascii="Garamond" w:hAnsi="Garamond" w:cs="Garamond"/>
          <w:color w:val="000000"/>
          <w:sz w:val="18"/>
          <w:szCs w:val="18"/>
        </w:rPr>
        <w:t>malleolar</w:t>
      </w:r>
      <w:proofErr w:type="spellEnd"/>
      <w:r>
        <w:rPr>
          <w:rFonts w:ascii="Garamond" w:hAnsi="Garamond" w:cs="Garamond"/>
          <w:color w:val="000000"/>
          <w:sz w:val="18"/>
          <w:szCs w:val="18"/>
        </w:rPr>
        <w:t xml:space="preserve"> fractures appear to be highly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variable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. We identified certain types of PMFs which we can </w:t>
      </w:r>
      <w:proofErr w:type="spellStart"/>
      <w:r>
        <w:rPr>
          <w:rFonts w:ascii="Garamond" w:hAnsi="Garamond" w:cs="Garamond"/>
          <w:color w:val="000000"/>
          <w:sz w:val="18"/>
          <w:szCs w:val="18"/>
        </w:rPr>
        <w:t>categorise</w:t>
      </w:r>
      <w:proofErr w:type="spellEnd"/>
      <w:r>
        <w:rPr>
          <w:rFonts w:ascii="Garamond" w:hAnsi="Garamond" w:cs="Garamond"/>
          <w:color w:val="000000"/>
          <w:sz w:val="18"/>
          <w:szCs w:val="18"/>
        </w:rPr>
        <w:t xml:space="preserve">. Ankle stability in the coronal and </w:t>
      </w:r>
      <w:proofErr w:type="spellStart"/>
      <w:r>
        <w:rPr>
          <w:rFonts w:ascii="Garamond" w:hAnsi="Garamond" w:cs="Garamond"/>
          <w:color w:val="000000"/>
          <w:sz w:val="18"/>
          <w:szCs w:val="18"/>
        </w:rPr>
        <w:t>sagittal</w:t>
      </w:r>
      <w:proofErr w:type="spellEnd"/>
      <w:r>
        <w:rPr>
          <w:rFonts w:ascii="Garamond" w:hAnsi="Garamond" w:cs="Garamond"/>
          <w:color w:val="000000"/>
          <w:sz w:val="18"/>
          <w:szCs w:val="18"/>
        </w:rPr>
        <w:t xml:space="preserve"> planes on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proofErr w:type="gramStart"/>
      <w:r>
        <w:rPr>
          <w:rFonts w:ascii="Garamond" w:hAnsi="Garamond" w:cs="Garamond"/>
          <w:color w:val="000000"/>
          <w:sz w:val="18"/>
          <w:szCs w:val="18"/>
        </w:rPr>
        <w:t>initial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 injury radiographs, intra-operative II and preoperative CT scans are critical in order to identify different PMFs patterns.</w:t>
      </w:r>
    </w:p>
    <w:p w:rsidR="007B171F" w:rsidRDefault="007B171F" w:rsidP="007B171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18"/>
          <w:szCs w:val="18"/>
        </w:rPr>
      </w:pPr>
      <w:r>
        <w:rPr>
          <w:rFonts w:ascii="Garamond" w:hAnsi="Garamond" w:cs="Garamond"/>
          <w:color w:val="000000"/>
          <w:sz w:val="18"/>
          <w:szCs w:val="18"/>
        </w:rPr>
        <w:t>PMFs have highly variable typology regardless of fragment size and this must take into consideration when deciding</w:t>
      </w:r>
    </w:p>
    <w:p w:rsidR="00C91638" w:rsidRDefault="007B171F" w:rsidP="007B171F">
      <w:proofErr w:type="gramStart"/>
      <w:r>
        <w:rPr>
          <w:rFonts w:ascii="Garamond" w:hAnsi="Garamond" w:cs="Garamond"/>
          <w:color w:val="000000"/>
          <w:sz w:val="18"/>
          <w:szCs w:val="18"/>
        </w:rPr>
        <w:t>treatment</w:t>
      </w:r>
      <w:proofErr w:type="gramEnd"/>
      <w:r>
        <w:rPr>
          <w:rFonts w:ascii="Garamond" w:hAnsi="Garamond" w:cs="Garamond"/>
          <w:color w:val="000000"/>
          <w:sz w:val="18"/>
          <w:szCs w:val="18"/>
        </w:rPr>
        <w:t xml:space="preserve"> plans.</w:t>
      </w:r>
    </w:p>
    <w:sectPr w:rsidR="00C91638" w:rsidSect="00C916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B171F"/>
    <w:rsid w:val="007B171F"/>
    <w:rsid w:val="00C91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1517</Characters>
  <Application>Microsoft Office Word</Application>
  <DocSecurity>0</DocSecurity>
  <Lines>12</Lines>
  <Paragraphs>3</Paragraphs>
  <ScaleCrop>false</ScaleCrop>
  <Company>UFH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Jike Lu</dc:creator>
  <cp:lastModifiedBy>Jike Lu</cp:lastModifiedBy>
  <cp:revision>1</cp:revision>
  <dcterms:created xsi:type="dcterms:W3CDTF">2017-07-19T09:13:00Z</dcterms:created>
  <dcterms:modified xsi:type="dcterms:W3CDTF">2017-07-19T09:17:00Z</dcterms:modified>
</cp:coreProperties>
</file>