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834" w:rsidRDefault="000C4834" w:rsidP="000C4834">
      <w:pPr>
        <w:pStyle w:val="Default"/>
      </w:pPr>
    </w:p>
    <w:p w:rsidR="000C4834" w:rsidRDefault="000C4834" w:rsidP="000C4834">
      <w:pPr>
        <w:pStyle w:val="Pa2"/>
        <w:spacing w:before="120"/>
        <w:jc w:val="both"/>
        <w:rPr>
          <w:color w:val="000000"/>
          <w:sz w:val="26"/>
          <w:szCs w:val="26"/>
        </w:rPr>
      </w:pPr>
      <w:r>
        <w:t xml:space="preserve"> </w:t>
      </w:r>
      <w:r>
        <w:rPr>
          <w:rStyle w:val="A6"/>
        </w:rPr>
        <w:t>Abstract</w:t>
      </w:r>
    </w:p>
    <w:p w:rsidR="000C4834" w:rsidRDefault="000C4834" w:rsidP="000C4834">
      <w:pPr>
        <w:pStyle w:val="Pa2"/>
        <w:spacing w:before="120"/>
        <w:jc w:val="both"/>
        <w:rPr>
          <w:color w:val="000000"/>
          <w:sz w:val="20"/>
          <w:szCs w:val="20"/>
        </w:rPr>
      </w:pPr>
      <w:r>
        <w:rPr>
          <w:rStyle w:val="A7"/>
        </w:rPr>
        <w:t xml:space="preserve">Background: </w:t>
      </w:r>
      <w:r>
        <w:rPr>
          <w:rStyle w:val="A4"/>
        </w:rPr>
        <w:t xml:space="preserve">Although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fractures and dislocations can occur at the second </w:t>
      </w:r>
      <w:proofErr w:type="spellStart"/>
      <w:r>
        <w:rPr>
          <w:rStyle w:val="A4"/>
        </w:rPr>
        <w:t>tarso</w:t>
      </w:r>
      <w:proofErr w:type="spellEnd"/>
      <w:r>
        <w:rPr>
          <w:rStyle w:val="A4"/>
        </w:rPr>
        <w:t xml:space="preserve">-metatarsal (TMT) joint or combined with other </w:t>
      </w:r>
      <w:proofErr w:type="spellStart"/>
      <w:r>
        <w:rPr>
          <w:rStyle w:val="A4"/>
        </w:rPr>
        <w:t>midfoot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Chopart</w:t>
      </w:r>
      <w:proofErr w:type="spellEnd"/>
      <w:r>
        <w:rPr>
          <w:rStyle w:val="A4"/>
        </w:rPr>
        <w:t xml:space="preserve">, and ankle joint injuries, they are typically recognized as </w:t>
      </w:r>
      <w:proofErr w:type="spellStart"/>
      <w:r>
        <w:rPr>
          <w:rStyle w:val="A4"/>
        </w:rPr>
        <w:t>midfoot</w:t>
      </w:r>
      <w:proofErr w:type="spellEnd"/>
      <w:r>
        <w:rPr>
          <w:rStyle w:val="A4"/>
        </w:rPr>
        <w:t xml:space="preserve"> injuries. Our hypothesis is that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injuries have more complex patterns than have been widely recognized, with other </w:t>
      </w:r>
      <w:proofErr w:type="spellStart"/>
      <w:r>
        <w:rPr>
          <w:rStyle w:val="A4"/>
        </w:rPr>
        <w:t>midfoot</w:t>
      </w:r>
      <w:proofErr w:type="spellEnd"/>
      <w:r>
        <w:rPr>
          <w:rStyle w:val="A4"/>
        </w:rPr>
        <w:t xml:space="preserve"> and </w:t>
      </w:r>
      <w:proofErr w:type="spellStart"/>
      <w:r>
        <w:rPr>
          <w:rStyle w:val="A4"/>
        </w:rPr>
        <w:t>hindfoot</w:t>
      </w:r>
      <w:proofErr w:type="spellEnd"/>
      <w:r>
        <w:rPr>
          <w:rStyle w:val="A4"/>
        </w:rPr>
        <w:t xml:space="preserve"> involvement. None of the previous studies so far have provided a comprehensive picture of the complexity of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injuries, and the optimal management of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injury is still unclear. This paper is an attempt to obtain a typology of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injuries combined with other foot bones and joints involvement, using a combination of initial injury radiographs, preoperative computed </w:t>
      </w:r>
      <w:proofErr w:type="spellStart"/>
      <w:r>
        <w:rPr>
          <w:rStyle w:val="A4"/>
        </w:rPr>
        <w:t>tomographic</w:t>
      </w:r>
      <w:proofErr w:type="spellEnd"/>
      <w:r>
        <w:rPr>
          <w:rStyle w:val="A4"/>
        </w:rPr>
        <w:t xml:space="preserve"> (CT) scans or magnetic resonance images (MRI), and intra-operative image intensifier (II) screening. We also looked the treatments given for each type.</w:t>
      </w:r>
    </w:p>
    <w:p w:rsidR="000C4834" w:rsidRDefault="000C4834" w:rsidP="000C4834">
      <w:pPr>
        <w:pStyle w:val="Pa2"/>
        <w:spacing w:before="120"/>
        <w:jc w:val="both"/>
        <w:rPr>
          <w:color w:val="000000"/>
          <w:sz w:val="20"/>
          <w:szCs w:val="20"/>
        </w:rPr>
      </w:pPr>
      <w:r>
        <w:rPr>
          <w:rStyle w:val="A7"/>
        </w:rPr>
        <w:t xml:space="preserve">Methods: </w:t>
      </w:r>
      <w:r>
        <w:rPr>
          <w:rStyle w:val="A4"/>
        </w:rPr>
        <w:t xml:space="preserve">Between 2013 and 2015, a total of 54 patients (56 feet) were identified, all with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injuries, and were treated at our institute. We retrospectively analyzed the patients’ pre-operative initial injury, or stress view radiographs, MRI, or CT, or intra-operative II screening, to look at the typology of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injuries.</w:t>
      </w:r>
    </w:p>
    <w:p w:rsidR="000C4834" w:rsidRDefault="000C4834" w:rsidP="000C4834">
      <w:pPr>
        <w:pStyle w:val="Pa2"/>
        <w:spacing w:before="120"/>
        <w:jc w:val="both"/>
        <w:rPr>
          <w:color w:val="000000"/>
          <w:sz w:val="20"/>
          <w:szCs w:val="20"/>
        </w:rPr>
      </w:pPr>
      <w:r>
        <w:rPr>
          <w:rStyle w:val="A7"/>
        </w:rPr>
        <w:t xml:space="preserve">Results: </w:t>
      </w:r>
      <w:r>
        <w:rPr>
          <w:rStyle w:val="A4"/>
        </w:rPr>
        <w:t xml:space="preserve">We found different complexities of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injuries as follows: Type 1, ligament injury, Type 2, presence of associated metatarsal base fracture or dislocation, and Type 3,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injury, combined with either </w:t>
      </w:r>
      <w:proofErr w:type="spellStart"/>
      <w:r>
        <w:rPr>
          <w:rStyle w:val="A4"/>
        </w:rPr>
        <w:t>Chopart</w:t>
      </w:r>
      <w:proofErr w:type="spellEnd"/>
      <w:r>
        <w:rPr>
          <w:rStyle w:val="A4"/>
        </w:rPr>
        <w:t xml:space="preserve"> joint fracture or ankle fracture.</w:t>
      </w:r>
    </w:p>
    <w:p w:rsidR="00C91638" w:rsidRDefault="000C4834" w:rsidP="000C4834">
      <w:r>
        <w:rPr>
          <w:rStyle w:val="A7"/>
        </w:rPr>
        <w:t xml:space="preserve">Conclusion: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injuries with associated fractures and dislocations appear to be highly variable and complex. We identified certain types of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injuries which were not categorized in previous classification systems. There were many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fractures or dislocations associated with </w:t>
      </w:r>
      <w:proofErr w:type="spellStart"/>
      <w:r>
        <w:rPr>
          <w:rStyle w:val="A4"/>
        </w:rPr>
        <w:t>midfoot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Chopart</w:t>
      </w:r>
      <w:proofErr w:type="spellEnd"/>
      <w:r>
        <w:rPr>
          <w:rStyle w:val="A4"/>
        </w:rPr>
        <w:t xml:space="preserve">, and ankle joint injuries. All the cases were treated by operative fixation, except Type Ia.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injuries can vary from subtle ligament problems to ones associated with high energy complex fractures. This study will give some insights into the variation in </w:t>
      </w:r>
      <w:proofErr w:type="spellStart"/>
      <w:r>
        <w:rPr>
          <w:rStyle w:val="A4"/>
        </w:rPr>
        <w:t>Lisfranc</w:t>
      </w:r>
      <w:proofErr w:type="spellEnd"/>
      <w:r>
        <w:rPr>
          <w:rStyle w:val="A4"/>
        </w:rPr>
        <w:t xml:space="preserve"> injuries.</w:t>
      </w:r>
    </w:p>
    <w:sectPr w:rsidR="00C91638" w:rsidSect="00C9163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>
    <w:useFELayout/>
  </w:compat>
  <w:rsids>
    <w:rsidRoot w:val="000C4834"/>
    <w:rsid w:val="000C4834"/>
    <w:rsid w:val="00C91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6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C4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0C4834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0C4834"/>
    <w:rPr>
      <w:b/>
      <w:bCs/>
      <w:color w:val="000000"/>
      <w:sz w:val="26"/>
      <w:szCs w:val="26"/>
    </w:rPr>
  </w:style>
  <w:style w:type="character" w:customStyle="1" w:styleId="A7">
    <w:name w:val="A7"/>
    <w:uiPriority w:val="99"/>
    <w:rsid w:val="000C4834"/>
    <w:rPr>
      <w:b/>
      <w:bCs/>
      <w:color w:val="000000"/>
      <w:sz w:val="22"/>
      <w:szCs w:val="22"/>
    </w:rPr>
  </w:style>
  <w:style w:type="character" w:customStyle="1" w:styleId="A4">
    <w:name w:val="A4"/>
    <w:uiPriority w:val="99"/>
    <w:rsid w:val="000C4834"/>
    <w:rPr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>UFH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Jike Lu</dc:creator>
  <cp:lastModifiedBy>Jike Lu</cp:lastModifiedBy>
  <cp:revision>1</cp:revision>
  <dcterms:created xsi:type="dcterms:W3CDTF">2017-07-19T09:13:00Z</dcterms:created>
  <dcterms:modified xsi:type="dcterms:W3CDTF">2017-07-19T09:13:00Z</dcterms:modified>
</cp:coreProperties>
</file>