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CB35EA" w14:textId="77777777" w:rsidR="00CD23C9" w:rsidRPr="00A95053" w:rsidRDefault="00CD23C9" w:rsidP="00CD23C9">
      <w:pPr>
        <w:pStyle w:val="BodyText"/>
        <w:spacing w:before="60" w:after="60"/>
        <w:rPr>
          <w:rFonts w:ascii="Minion Pro" w:eastAsia="Minion Pro" w:hAnsi="Minion Pro" w:cs="Minion Pro"/>
          <w:b/>
          <w:bCs/>
          <w:sz w:val="32"/>
          <w:szCs w:val="32"/>
        </w:rPr>
      </w:pPr>
      <w:r w:rsidRPr="00A95053">
        <w:rPr>
          <w:rFonts w:ascii="Minion Pro" w:eastAsia="Minion Pro" w:hAnsi="Minion Pro" w:cs="Minion Pro"/>
          <w:b/>
          <w:bCs/>
          <w:sz w:val="32"/>
          <w:szCs w:val="32"/>
        </w:rPr>
        <w:t>Correlation between Red blood cell distribution width and Mortality risk following Hip fracture – A meta-analysis</w:t>
      </w:r>
    </w:p>
    <w:p w14:paraId="7A3600B3" w14:textId="1EA36D24" w:rsidR="00CD23C9" w:rsidRDefault="00CD23C9" w:rsidP="00CD23C9">
      <w:pPr>
        <w:pStyle w:val="BodyText"/>
        <w:spacing w:before="73" w:line="198" w:lineRule="exact"/>
        <w:ind w:left="100" w:right="-20"/>
        <w:rPr>
          <w:rFonts w:ascii="Arial"/>
        </w:rPr>
      </w:pPr>
      <w:r>
        <w:rPr>
          <w:rFonts w:ascii="Arial"/>
        </w:rPr>
        <w:t>Bao T.T. Nguyen</w:t>
      </w:r>
      <w:r w:rsidR="005973B9">
        <w:rPr>
          <w:rFonts w:ascii="Arial"/>
        </w:rPr>
        <w:t>,</w:t>
      </w:r>
      <w:r>
        <w:rPr>
          <w:rFonts w:ascii="Arial"/>
        </w:rPr>
        <w:t xml:space="preserve"> MD, The International Graduate Program in Medicine, College of Medicine, Taipei Medical University, Taipei, Taiwan; Department of Orthopedics, Faculty of Medicine, Can Tho University of Medicine and Pharmacy, Can Tho, Vietnam</w:t>
      </w:r>
    </w:p>
    <w:p w14:paraId="699B649B" w14:textId="6DE79E7E" w:rsidR="0078738A" w:rsidRDefault="00CD23C9" w:rsidP="00CD23C9">
      <w:pPr>
        <w:pStyle w:val="BodyText"/>
        <w:spacing w:before="73" w:line="198" w:lineRule="exact"/>
        <w:ind w:left="100" w:right="-20"/>
        <w:rPr>
          <w:rFonts w:ascii="Arial"/>
        </w:rPr>
      </w:pPr>
      <w:r>
        <w:rPr>
          <w:rFonts w:ascii="Arial"/>
        </w:rPr>
        <w:t>Duy N.A. Tran, MD, The International Graduate Program in Medicine, College of Medicine, Taipei Medical University, Taipei, Taiwan; Department of Orthopedics, Faculty of Medicine, Can Tho University of Medicine and Pharmacy, Can Tho, Vietnam</w:t>
      </w:r>
    </w:p>
    <w:p w14:paraId="5089E5EA" w14:textId="1A9B1E23" w:rsidR="00CD23C9" w:rsidRDefault="00CD23C9" w:rsidP="00CD23C9">
      <w:pPr>
        <w:pStyle w:val="BodyText"/>
        <w:spacing w:before="73" w:line="198" w:lineRule="exact"/>
        <w:ind w:left="100" w:right="-20"/>
        <w:rPr>
          <w:rFonts w:ascii="Arial"/>
        </w:rPr>
      </w:pPr>
      <w:r>
        <w:rPr>
          <w:rFonts w:ascii="Arial"/>
        </w:rPr>
        <w:t xml:space="preserve">Yu-Pin Chen, </w:t>
      </w:r>
      <w:r w:rsidR="00A7799D">
        <w:rPr>
          <w:rFonts w:ascii="Arial"/>
        </w:rPr>
        <w:t>Ph.D.</w:t>
      </w:r>
      <w:r>
        <w:rPr>
          <w:rFonts w:ascii="Arial"/>
        </w:rPr>
        <w:t xml:space="preserve">, Department of Orthopedics, Wan Fang </w:t>
      </w:r>
      <w:r w:rsidR="00A7799D">
        <w:rPr>
          <w:rFonts w:ascii="Arial"/>
        </w:rPr>
        <w:t>Hospital</w:t>
      </w:r>
      <w:r>
        <w:rPr>
          <w:rFonts w:ascii="Arial"/>
        </w:rPr>
        <w:t>, Taipei Medical University, Taipei, Taiwan; Department of Orthopedics, School of Medicine, College of Medicine, Taipei Medical University, Taipei, Taiwan</w:t>
      </w:r>
    </w:p>
    <w:p w14:paraId="187DF953" w14:textId="77777777" w:rsidR="00AE3E37" w:rsidRDefault="00AE3E37">
      <w:pPr>
        <w:rPr>
          <w:rFonts w:ascii="Arial"/>
          <w:sz w:val="21"/>
        </w:rPr>
        <w:sectPr w:rsidR="00AE3E37" w:rsidSect="00A7799D">
          <w:headerReference w:type="default" r:id="rId7"/>
          <w:footerReference w:type="default" r:id="rId8"/>
          <w:type w:val="continuous"/>
          <w:pgSz w:w="11910" w:h="16840"/>
          <w:pgMar w:top="90" w:right="600" w:bottom="840" w:left="620" w:header="541" w:footer="642" w:gutter="0"/>
          <w:cols w:space="720"/>
        </w:sectPr>
      </w:pPr>
    </w:p>
    <w:p w14:paraId="33D295A2" w14:textId="68C40ED8" w:rsidR="00AE3E37" w:rsidRDefault="00A9710C">
      <w:pPr>
        <w:pStyle w:val="Heading3"/>
        <w:spacing w:before="147"/>
        <w:jc w:val="both"/>
      </w:pPr>
      <w:r>
        <w:rPr>
          <w:color w:val="BF5A14"/>
        </w:rPr>
        <w:t>Abstract</w:t>
      </w:r>
    </w:p>
    <w:p w14:paraId="56EAB423" w14:textId="2A1F931C" w:rsidR="00CD23C9" w:rsidRDefault="00CD23C9" w:rsidP="00CD23C9">
      <w:pPr>
        <w:pStyle w:val="BodyText"/>
        <w:spacing w:before="90" w:line="280" w:lineRule="auto"/>
        <w:ind w:left="100"/>
        <w:jc w:val="both"/>
      </w:pPr>
      <w:r>
        <w:t>Introduction: Hip fractures in elderly individuals are a severe health concern. Red blood cell distribution width (RDW) is discovered to help identify high-risk patients with aging-related mortality and various disorders and diseases. However, its correlation with adverse patient outcomes following hip fractures remains to be determined. Therefore, this meta-analysis was conducted to understand better the correlation between RDW levels and mortality risk after hip fractures.</w:t>
      </w:r>
    </w:p>
    <w:p w14:paraId="729B17CE" w14:textId="053A2633" w:rsidR="00CD23C9" w:rsidRDefault="00CD23C9" w:rsidP="00CD23C9">
      <w:pPr>
        <w:pStyle w:val="BodyText"/>
        <w:spacing w:before="90" w:line="280" w:lineRule="auto"/>
        <w:ind w:left="100"/>
        <w:jc w:val="both"/>
      </w:pPr>
      <w:r>
        <w:t>Materials and Methods: Relevant studies were searched from PubMed, Embase, Web of Science, and other sources until April 2023. Observational studies demonstrated the correlation between admission or preoperative RDW level and short- and long-term mortality rate following hip fracture were included. The results were shown with odds ratio (OR) or hazard ratio (HR) and 95% confidence intervals (CIs).</w:t>
      </w:r>
    </w:p>
    <w:p w14:paraId="20CA2F8A" w14:textId="50C43474" w:rsidR="00CD23C9" w:rsidRDefault="00CD23C9" w:rsidP="00CD23C9">
      <w:pPr>
        <w:pStyle w:val="BodyText"/>
        <w:spacing w:before="90" w:line="280" w:lineRule="auto"/>
        <w:ind w:left="100"/>
        <w:jc w:val="both"/>
      </w:pPr>
      <w:r>
        <w:t xml:space="preserve">Results: This study included ten cohort and case-control studies involving 5834 hip fracture patients. Patients having preoperative RDW levels over 14.5% were more likely to be mortal at one year (OR: 5.40, 95% CI: 1.89-15.48, p = 0.002) and three months (OR: 2.91, 95% CI: 1.42-5.95, p = 0.004. Higher admission or preoperative RDW levels were significantly associated with an 11% higher mortality risk at over-1-year follow-up (HR: 1.11, 95% CI: 1.05-1.18, p = 0.0007). Patients having higher preoperative RDW levels show a significant increase of three times in the mortality risk at six months (OR: 3.00, 95% CI: 1.60-5.61, p = 0.0006). In the 30-day follow-up, higher preoperative RDW levels increased the death rate (OR: 6.36, 95% CI: 3.28-12.33, p &lt; 0.00001). </w:t>
      </w:r>
    </w:p>
    <w:p w14:paraId="30C32F56" w14:textId="73E205E3" w:rsidR="00AE3E37" w:rsidRDefault="00CD23C9" w:rsidP="00CD23C9">
      <w:pPr>
        <w:pStyle w:val="BodyText"/>
        <w:spacing w:before="90" w:line="280" w:lineRule="auto"/>
        <w:ind w:left="100"/>
        <w:jc w:val="both"/>
      </w:pPr>
      <w:r>
        <w:t>Conclusions: Greater variability of red blood cell volume at admission or preoperation increases the risk of death following hip fractures in both the long and short term. Because RDW can be easily obtained from a routine blood test at a low cost, this parameter can be used to predict mortality in hip fracture patients.</w:t>
      </w:r>
    </w:p>
    <w:p w14:paraId="4AFBB4A8" w14:textId="77777777" w:rsidR="00AE3E37" w:rsidRDefault="00A9710C">
      <w:pPr>
        <w:pStyle w:val="Heading3"/>
        <w:spacing w:before="74"/>
      </w:pPr>
      <w:r>
        <w:rPr>
          <w:b w:val="0"/>
        </w:rPr>
        <w:br w:type="column"/>
      </w:r>
      <w:r>
        <w:rPr>
          <w:color w:val="BF5A14"/>
        </w:rPr>
        <w:t>Image</w:t>
      </w:r>
    </w:p>
    <w:p w14:paraId="354E76A3" w14:textId="6B336A5D" w:rsidR="00AE3E37" w:rsidRDefault="0021183E">
      <w:pPr>
        <w:pStyle w:val="BodyText"/>
        <w:spacing w:before="2"/>
        <w:rPr>
          <w:rFonts w:ascii="Arial"/>
          <w:b/>
          <w:sz w:val="16"/>
        </w:rPr>
      </w:pPr>
      <w:r w:rsidRPr="0021183E">
        <w:rPr>
          <w:rFonts w:ascii="Arial"/>
          <w:b/>
          <w:noProof/>
          <w:sz w:val="16"/>
        </w:rPr>
        <w:drawing>
          <wp:inline distT="0" distB="0" distL="0" distR="0" wp14:anchorId="2E845D29" wp14:editId="31B4B327">
            <wp:extent cx="3235960" cy="4177861"/>
            <wp:effectExtent l="0" t="0" r="2540" b="0"/>
            <wp:docPr id="902537782" name="Picture 1" descr="A picture containing text, screenshot, number,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2537782" name="Picture 1" descr="A picture containing text, screenshot, number, font&#10;&#10;Description automatically generated"/>
                    <pic:cNvPicPr/>
                  </pic:nvPicPr>
                  <pic:blipFill>
                    <a:blip r:embed="rId9" cstate="screen">
                      <a:extLst>
                        <a:ext uri="{28A0092B-C50C-407E-A947-70E740481C1C}">
                          <a14:useLocalDpi xmlns:a14="http://schemas.microsoft.com/office/drawing/2010/main"/>
                        </a:ext>
                      </a:extLst>
                    </a:blip>
                    <a:stretch>
                      <a:fillRect/>
                    </a:stretch>
                  </pic:blipFill>
                  <pic:spPr>
                    <a:xfrm>
                      <a:off x="0" y="0"/>
                      <a:ext cx="3242894" cy="4186813"/>
                    </a:xfrm>
                    <a:prstGeom prst="rect">
                      <a:avLst/>
                    </a:prstGeom>
                  </pic:spPr>
                </pic:pic>
              </a:graphicData>
            </a:graphic>
          </wp:inline>
        </w:drawing>
      </w:r>
    </w:p>
    <w:p w14:paraId="1E2A0A62" w14:textId="764E86FA" w:rsidR="005973B9" w:rsidRDefault="005973B9" w:rsidP="005973B9">
      <w:pPr>
        <w:spacing w:line="204" w:lineRule="exact"/>
        <w:rPr>
          <w:rFonts w:ascii="Arial"/>
          <w:b/>
          <w:sz w:val="20"/>
        </w:rPr>
      </w:pPr>
      <w:r>
        <w:rPr>
          <w:rFonts w:ascii="Arial"/>
          <w:b/>
          <w:color w:val="BF5A14"/>
          <w:sz w:val="20"/>
        </w:rPr>
        <w:br/>
        <w:t xml:space="preserve">Recent Publications </w:t>
      </w:r>
    </w:p>
    <w:p w14:paraId="33CDB9CA" w14:textId="1421C6B8" w:rsidR="005973B9" w:rsidRPr="00A7799D" w:rsidRDefault="00CD23C9" w:rsidP="00A7799D">
      <w:pPr>
        <w:pStyle w:val="ListParagraph"/>
        <w:numPr>
          <w:ilvl w:val="0"/>
          <w:numId w:val="3"/>
        </w:numPr>
        <w:tabs>
          <w:tab w:val="left" w:pos="384"/>
        </w:tabs>
        <w:spacing w:before="0" w:line="240" w:lineRule="auto"/>
        <w:ind w:left="389" w:right="137" w:hanging="288"/>
        <w:rPr>
          <w:sz w:val="16"/>
          <w:szCs w:val="16"/>
        </w:rPr>
      </w:pPr>
      <w:r w:rsidRPr="00A7799D">
        <w:rPr>
          <w:sz w:val="16"/>
          <w:szCs w:val="16"/>
        </w:rPr>
        <w:t>Wei-Hsiang H, Zhu Y, Zhang J, Zhang Y. Pretreatment red blood cell distribution width as an efficient predictor of survival in older patients undergoing hip fracture surgery. Int J Clin Pract. Dec 2021;75(12):e14791. doi:10.1111/ijcp.14791</w:t>
      </w:r>
    </w:p>
    <w:p w14:paraId="44C35653" w14:textId="566598A8" w:rsidR="00CD23C9" w:rsidRPr="00A7799D" w:rsidRDefault="00CD23C9" w:rsidP="00A7799D">
      <w:pPr>
        <w:pStyle w:val="ListParagraph"/>
        <w:numPr>
          <w:ilvl w:val="0"/>
          <w:numId w:val="3"/>
        </w:numPr>
        <w:tabs>
          <w:tab w:val="left" w:pos="384"/>
        </w:tabs>
        <w:spacing w:before="0" w:line="240" w:lineRule="auto"/>
        <w:ind w:left="389" w:hanging="288"/>
        <w:rPr>
          <w:sz w:val="16"/>
          <w:szCs w:val="16"/>
        </w:rPr>
      </w:pPr>
      <w:r w:rsidRPr="00A7799D">
        <w:rPr>
          <w:sz w:val="16"/>
          <w:szCs w:val="16"/>
        </w:rPr>
        <w:t xml:space="preserve">Temiz A. Association between admission red cell distribution width and mortality in elderly hip fracture patients: A Retrospective </w:t>
      </w:r>
      <w:r w:rsidR="00A7799D" w:rsidRPr="00A7799D">
        <w:rPr>
          <w:sz w:val="16"/>
          <w:szCs w:val="16"/>
        </w:rPr>
        <w:t>Case-Control</w:t>
      </w:r>
      <w:r w:rsidRPr="00A7799D">
        <w:rPr>
          <w:sz w:val="16"/>
          <w:szCs w:val="16"/>
        </w:rPr>
        <w:t xml:space="preserve"> Study. Eurasian Journal of Medical Investigation. 2018;doi:10.14744/ejmi.2018.75047</w:t>
      </w:r>
    </w:p>
    <w:p w14:paraId="65340202" w14:textId="77777777" w:rsidR="00CD23C9" w:rsidRPr="00A7799D" w:rsidRDefault="00CD23C9" w:rsidP="00A7799D">
      <w:pPr>
        <w:pStyle w:val="ListParagraph"/>
        <w:numPr>
          <w:ilvl w:val="0"/>
          <w:numId w:val="3"/>
        </w:numPr>
        <w:tabs>
          <w:tab w:val="left" w:pos="384"/>
        </w:tabs>
        <w:spacing w:before="0" w:line="240" w:lineRule="auto"/>
        <w:ind w:left="389" w:hanging="288"/>
        <w:rPr>
          <w:sz w:val="16"/>
          <w:szCs w:val="16"/>
        </w:rPr>
      </w:pPr>
      <w:r w:rsidRPr="00A7799D">
        <w:rPr>
          <w:sz w:val="16"/>
          <w:szCs w:val="16"/>
        </w:rPr>
        <w:t>Hamdan M, Haddad BI, Jabaiti M, et al. Does Red Cell Distribution Width Predict Hip Fracture Mortality Among the Arab Population? A Single-Center Retrospective Cohort Study. Int J Gen Med. 2021;14:10195-10202. doi:10.2147/IJGM.S343538</w:t>
      </w:r>
      <w:r w:rsidR="005973B9" w:rsidRPr="00A7799D">
        <w:rPr>
          <w:sz w:val="16"/>
          <w:szCs w:val="16"/>
        </w:rPr>
        <w:t>5</w:t>
      </w:r>
    </w:p>
    <w:p w14:paraId="1B79AF93" w14:textId="258AEBBC" w:rsidR="005973B9" w:rsidRPr="00A7799D" w:rsidRDefault="00CD23C9" w:rsidP="00A7799D">
      <w:pPr>
        <w:pStyle w:val="ListParagraph"/>
        <w:numPr>
          <w:ilvl w:val="0"/>
          <w:numId w:val="3"/>
        </w:numPr>
        <w:tabs>
          <w:tab w:val="left" w:pos="384"/>
        </w:tabs>
        <w:spacing w:before="0" w:line="240" w:lineRule="auto"/>
        <w:ind w:left="389" w:hanging="288"/>
        <w:rPr>
          <w:sz w:val="16"/>
          <w:szCs w:val="16"/>
        </w:rPr>
      </w:pPr>
      <w:r w:rsidRPr="00A7799D">
        <w:rPr>
          <w:sz w:val="16"/>
          <w:szCs w:val="16"/>
        </w:rPr>
        <w:t>Karadeniz S, Yurtbay A. Predicting mortality rate in elderly patients operated for hip fracture using red blood cell distribution width, neutrophil-to-lymphocyte ratio, and Nottingham Hip Fracture Score. Jt Dis Relat Surg. 2022;33(3):538-546. doi:10.52312/jdrs.2022.683</w:t>
      </w:r>
    </w:p>
    <w:p w14:paraId="26515AB1" w14:textId="08491245" w:rsidR="00AE3E37" w:rsidRDefault="00CD23C9" w:rsidP="00A7799D">
      <w:pPr>
        <w:pStyle w:val="ListParagraph"/>
        <w:numPr>
          <w:ilvl w:val="0"/>
          <w:numId w:val="3"/>
        </w:numPr>
        <w:tabs>
          <w:tab w:val="left" w:pos="384"/>
        </w:tabs>
        <w:spacing w:before="0" w:line="240" w:lineRule="auto"/>
        <w:ind w:left="389" w:hanging="288"/>
        <w:rPr>
          <w:sz w:val="16"/>
          <w:szCs w:val="16"/>
        </w:rPr>
      </w:pPr>
      <w:r w:rsidRPr="00A7799D">
        <w:rPr>
          <w:sz w:val="16"/>
          <w:szCs w:val="16"/>
        </w:rPr>
        <w:t xml:space="preserve">Marom O, Paz I, Topaz G, Ohana N, Yaacobi E. Red cell distribution width-A mortality predictor in older adults with proximal femoral fracture. </w:t>
      </w:r>
      <w:r w:rsidRPr="00A7799D">
        <w:rPr>
          <w:i/>
          <w:sz w:val="16"/>
          <w:szCs w:val="16"/>
        </w:rPr>
        <w:t>Arch Gerontol Geriatr</w:t>
      </w:r>
      <w:r w:rsidRPr="00A7799D">
        <w:rPr>
          <w:sz w:val="16"/>
          <w:szCs w:val="16"/>
        </w:rPr>
        <w:t>. May-Jun 2022;100:104623. doi:10.1016/j.archger.2022.104623</w:t>
      </w:r>
    </w:p>
    <w:p w14:paraId="0BBF48D9" w14:textId="77777777" w:rsidR="00A7799D" w:rsidRDefault="00A7799D" w:rsidP="00A7799D">
      <w:pPr>
        <w:tabs>
          <w:tab w:val="left" w:pos="384"/>
        </w:tabs>
        <w:rPr>
          <w:sz w:val="16"/>
          <w:szCs w:val="16"/>
        </w:rPr>
      </w:pPr>
    </w:p>
    <w:p w14:paraId="0DD5ED2A" w14:textId="77777777" w:rsidR="00A7799D" w:rsidRDefault="00A7799D" w:rsidP="00A7799D">
      <w:pPr>
        <w:tabs>
          <w:tab w:val="left" w:pos="384"/>
        </w:tabs>
        <w:rPr>
          <w:sz w:val="16"/>
          <w:szCs w:val="16"/>
        </w:rPr>
      </w:pPr>
    </w:p>
    <w:p w14:paraId="63D15C19" w14:textId="77777777" w:rsidR="00A7799D" w:rsidRDefault="00A7799D" w:rsidP="00A7799D">
      <w:pPr>
        <w:tabs>
          <w:tab w:val="left" w:pos="384"/>
        </w:tabs>
        <w:rPr>
          <w:sz w:val="16"/>
          <w:szCs w:val="16"/>
        </w:rPr>
      </w:pPr>
    </w:p>
    <w:p w14:paraId="7FAC4E82" w14:textId="77777777" w:rsidR="00A7799D" w:rsidRDefault="00A7799D" w:rsidP="00A7799D">
      <w:pPr>
        <w:tabs>
          <w:tab w:val="left" w:pos="384"/>
        </w:tabs>
        <w:rPr>
          <w:sz w:val="16"/>
          <w:szCs w:val="16"/>
        </w:rPr>
      </w:pPr>
    </w:p>
    <w:p w14:paraId="6E5BB716" w14:textId="77777777" w:rsidR="00A7799D" w:rsidRDefault="00A7799D" w:rsidP="00A7799D">
      <w:pPr>
        <w:tabs>
          <w:tab w:val="left" w:pos="384"/>
        </w:tabs>
        <w:rPr>
          <w:sz w:val="16"/>
          <w:szCs w:val="16"/>
        </w:rPr>
      </w:pPr>
    </w:p>
    <w:p w14:paraId="3B947278" w14:textId="77777777" w:rsidR="00A7799D" w:rsidRDefault="00A7799D" w:rsidP="00A7799D">
      <w:pPr>
        <w:tabs>
          <w:tab w:val="left" w:pos="384"/>
        </w:tabs>
        <w:rPr>
          <w:sz w:val="16"/>
          <w:szCs w:val="16"/>
        </w:rPr>
      </w:pPr>
    </w:p>
    <w:p w14:paraId="73679C5E" w14:textId="77777777" w:rsidR="00A7799D" w:rsidRDefault="00A7799D" w:rsidP="00A7799D">
      <w:pPr>
        <w:tabs>
          <w:tab w:val="left" w:pos="384"/>
        </w:tabs>
        <w:rPr>
          <w:sz w:val="16"/>
          <w:szCs w:val="16"/>
        </w:rPr>
      </w:pPr>
    </w:p>
    <w:p w14:paraId="77EBA62A" w14:textId="77777777" w:rsidR="00A7799D" w:rsidRDefault="00A7799D" w:rsidP="00A7799D">
      <w:pPr>
        <w:tabs>
          <w:tab w:val="left" w:pos="384"/>
        </w:tabs>
        <w:rPr>
          <w:sz w:val="16"/>
          <w:szCs w:val="16"/>
        </w:rPr>
      </w:pPr>
    </w:p>
    <w:p w14:paraId="4AC4AAF4" w14:textId="77777777" w:rsidR="00A7799D" w:rsidRPr="00A7799D" w:rsidRDefault="00A7799D" w:rsidP="00A7799D">
      <w:pPr>
        <w:tabs>
          <w:tab w:val="left" w:pos="384"/>
        </w:tabs>
        <w:rPr>
          <w:sz w:val="16"/>
          <w:szCs w:val="16"/>
        </w:rPr>
      </w:pPr>
    </w:p>
    <w:p w14:paraId="1A110C4C"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1B118AD7" w14:textId="77777777"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14:paraId="0B081BAC"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CD5E00B" wp14:editId="7400E50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120169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511A467D" w14:textId="3B580BDD"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615E3D7D" wp14:editId="116981F5">
            <wp:extent cx="792480" cy="1074194"/>
            <wp:effectExtent l="0" t="0" r="762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0" cstate="screen">
                      <a:extLst>
                        <a:ext uri="{28A0092B-C50C-407E-A947-70E740481C1C}">
                          <a14:useLocalDpi xmlns:a14="http://schemas.microsoft.com/office/drawing/2010/main"/>
                        </a:ext>
                      </a:extLst>
                    </a:blip>
                    <a:stretch>
                      <a:fillRect/>
                    </a:stretch>
                  </pic:blipFill>
                  <pic:spPr bwMode="auto">
                    <a:xfrm>
                      <a:off x="0" y="0"/>
                      <a:ext cx="798174" cy="1081912"/>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3E4E2853" w14:textId="5778DAA3" w:rsidR="0021183E" w:rsidRDefault="00887A61" w:rsidP="007F5013">
      <w:pPr>
        <w:spacing w:before="41" w:line="154" w:lineRule="exact"/>
        <w:ind w:left="213" w:right="231"/>
        <w:jc w:val="both"/>
        <w:rPr>
          <w:rFonts w:ascii="Arial"/>
          <w:sz w:val="14"/>
        </w:rPr>
      </w:pPr>
      <w:r>
        <w:rPr>
          <w:rFonts w:ascii="Arial"/>
          <w:sz w:val="14"/>
        </w:rPr>
        <w:t xml:space="preserve">Mr. Bao is an orthopedic lecturer and surgeon from a University in Can Tho City, the capital of South Vietnam. </w:t>
      </w:r>
      <w:r w:rsidR="00A7799D" w:rsidRPr="00A7799D">
        <w:rPr>
          <w:rFonts w:ascii="Arial"/>
          <w:sz w:val="14"/>
        </w:rPr>
        <w:t xml:space="preserve">He is eager to improve and enhance the management and multidisciplinary care for trauma and orthopedic patients in his area. He believes that his patients will be able to receive creative and effective treatment. He worked at </w:t>
      </w:r>
      <w:r w:rsidR="00A7799D">
        <w:rPr>
          <w:rFonts w:ascii="Arial"/>
          <w:sz w:val="14"/>
        </w:rPr>
        <w:t>his</w:t>
      </w:r>
      <w:r w:rsidR="00A7799D" w:rsidRPr="00A7799D">
        <w:rPr>
          <w:rFonts w:ascii="Arial"/>
          <w:sz w:val="14"/>
        </w:rPr>
        <w:t xml:space="preserve"> University's Orthopedic center after obtaining his Bachelor's degree in Medicine, specializing </w:t>
      </w:r>
      <w:r w:rsidR="00A7799D">
        <w:rPr>
          <w:rFonts w:ascii="Arial"/>
          <w:sz w:val="14"/>
        </w:rPr>
        <w:t>in</w:t>
      </w:r>
      <w:r w:rsidR="00A7799D" w:rsidRPr="00A7799D">
        <w:rPr>
          <w:rFonts w:ascii="Arial"/>
          <w:sz w:val="14"/>
        </w:rPr>
        <w:t xml:space="preserve"> hip and knee procedures and senior fracture care. He is now pursuing a Ph.D. at Taipei Medical University in Taiwan, where he is conducting research on predicting bad outcomes following hip fractures and optimizing perioperative treatment for advanced-age patients. With so many opportunities to learn and research, he hopes to add his findings to orthopedic knowledge, which will assist </w:t>
      </w:r>
      <w:r w:rsidR="00A7799D">
        <w:rPr>
          <w:rFonts w:ascii="Arial"/>
          <w:sz w:val="14"/>
        </w:rPr>
        <w:t>in improving</w:t>
      </w:r>
      <w:r w:rsidR="00A7799D" w:rsidRPr="00A7799D">
        <w:rPr>
          <w:rFonts w:ascii="Arial"/>
          <w:sz w:val="14"/>
        </w:rPr>
        <w:t xml:space="preserve"> the quality of trauma and orthopedic patient care.</w:t>
      </w:r>
    </w:p>
    <w:p w14:paraId="71CBCDA1" w14:textId="6D2EC16B" w:rsidR="00AE3E37" w:rsidRDefault="00A9710C">
      <w:pPr>
        <w:spacing w:before="62"/>
        <w:ind w:left="4217" w:right="4235"/>
        <w:jc w:val="center"/>
        <w:rPr>
          <w:rFonts w:ascii="Arial"/>
          <w:sz w:val="14"/>
        </w:rPr>
      </w:pPr>
      <w:r>
        <w:rPr>
          <w:rFonts w:ascii="Arial"/>
          <w:sz w:val="14"/>
        </w:rPr>
        <w:t xml:space="preserve">Email: </w:t>
      </w:r>
      <w:hyperlink r:id="rId11" w:history="1">
        <w:r w:rsidR="0021183E" w:rsidRPr="00D41DFF">
          <w:rPr>
            <w:rStyle w:val="Hyperlink"/>
            <w:sz w:val="16"/>
            <w:szCs w:val="16"/>
          </w:rPr>
          <w:t>d142111004@tmu.edu.tw</w:t>
        </w:r>
      </w:hyperlink>
      <w:r w:rsidR="0021183E">
        <w:rPr>
          <w:sz w:val="16"/>
          <w:szCs w:val="16"/>
        </w:rPr>
        <w:t xml:space="preserve"> </w:t>
      </w:r>
    </w:p>
    <w:p w14:paraId="329C81B7"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320748A4" wp14:editId="5C7A9CE9">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A6C0B9"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3929166F" w14:textId="77777777" w:rsidR="00AE3E37" w:rsidRDefault="00AE3E37">
      <w:pPr>
        <w:pStyle w:val="BodyText"/>
        <w:rPr>
          <w:rFonts w:ascii="Arial"/>
          <w:sz w:val="20"/>
        </w:rPr>
      </w:pPr>
    </w:p>
    <w:p w14:paraId="784E68B4" w14:textId="77777777" w:rsidR="00AE3E37" w:rsidRDefault="00AE3E37">
      <w:pPr>
        <w:pStyle w:val="BodyText"/>
        <w:rPr>
          <w:rFonts w:ascii="Arial"/>
          <w:sz w:val="20"/>
        </w:rPr>
      </w:pPr>
    </w:p>
    <w:p w14:paraId="7313AD0F" w14:textId="77777777" w:rsidR="00AE3E37" w:rsidRDefault="00AE3E37">
      <w:pPr>
        <w:pStyle w:val="BodyText"/>
        <w:spacing w:before="7"/>
        <w:rPr>
          <w:rFonts w:ascii="Arial"/>
          <w:sz w:val="29"/>
        </w:rPr>
      </w:pPr>
    </w:p>
    <w:p w14:paraId="54E31966" w14:textId="77777777" w:rsidR="00AE3E37" w:rsidRPr="00B21A57" w:rsidRDefault="00A9710C">
      <w:pPr>
        <w:spacing w:before="39"/>
        <w:ind w:left="100"/>
        <w:rPr>
          <w:rFonts w:ascii="Minion Pro"/>
          <w:b/>
          <w:sz w:val="20"/>
        </w:rPr>
      </w:pPr>
      <w:r w:rsidRPr="00B21A57">
        <w:rPr>
          <w:rFonts w:ascii="Minion Pro"/>
          <w:b/>
          <w:sz w:val="20"/>
        </w:rPr>
        <w:t>Notes/Comments:</w:t>
      </w:r>
    </w:p>
    <w:p w14:paraId="27524F20"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BB235C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072CA9" w14:textId="77777777" w:rsidR="00150B7B" w:rsidRDefault="00150B7B">
      <w:r>
        <w:separator/>
      </w:r>
    </w:p>
  </w:endnote>
  <w:endnote w:type="continuationSeparator" w:id="0">
    <w:p w14:paraId="7085E01C" w14:textId="77777777" w:rsidR="00150B7B" w:rsidRDefault="00150B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3624C2"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8240" behindDoc="1" locked="0" layoutInCell="1" allowOverlap="1" wp14:anchorId="228049B3" wp14:editId="2E981B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1C3B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34162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8049B3"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" filled="f" stroked="f">
              <v:textbox inset="0,0,0,0">
                <w:txbxContent>
                  <w:p w14:paraId="151C3BF0"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77341623"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1C5CAA40" wp14:editId="29FC191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97C4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5CB24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5CAA40" id="Text Box 2" o:spid="_x0000_s1029" type="#_x0000_t202" style="position:absolute;margin-left:252.1pt;margin-top:799.05pt;width:91.9pt;height:24.9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" filled="f" stroked="f">
              <v:textbox inset="0,0,0,0">
                <w:txbxContent>
                  <w:p w14:paraId="1D97C491"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25CB24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2336" behindDoc="1" locked="0" layoutInCell="1" allowOverlap="1" wp14:anchorId="475B57E7" wp14:editId="16481CE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8296F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E739F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5B57E7" id="Text Box 1" o:spid="_x0000_s1030" type="#_x0000_t202" style="position:absolute;margin-left:468.9pt;margin-top:798.8pt;width:91.4pt;height:26.0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XQLQrNoBAACYAwAADgAAAAAAAAAAAAAAAAAuAgAAZHJzL2Uyb0RvYy54bWxQSwECLQAUAAYA&#10;CAAAACEA4y1yTuIAAAAOAQAADwAAAAAAAAAAAAAAAAA0BAAAZHJzL2Rvd25yZXYueG1sUEsFBgAA&#10;AAAEAAQA8wAAAEMFAAAAAA==&#10;" filled="f" stroked="f">
              <v:textbox inset="0,0,0,0">
                <w:txbxContent>
                  <w:p w14:paraId="4F8296FD"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FE739F4"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870AFB" w14:textId="77777777" w:rsidR="00150B7B" w:rsidRDefault="00150B7B">
      <w:r>
        <w:separator/>
      </w:r>
    </w:p>
  </w:footnote>
  <w:footnote w:type="continuationSeparator" w:id="0">
    <w:p w14:paraId="5F5CC790" w14:textId="77777777" w:rsidR="00150B7B" w:rsidRDefault="00150B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0CA2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4144" behindDoc="1" locked="0" layoutInCell="1" allowOverlap="1" wp14:anchorId="1B9B4A9B" wp14:editId="2F89EA1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887CB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9B4A9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" filled="f" stroked="f">
              <v:textbox inset="0,0,0,0">
                <w:txbxContent>
                  <w:p w14:paraId="67887CB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6192" behindDoc="1" locked="0" layoutInCell="1" allowOverlap="1" wp14:anchorId="58E6164C" wp14:editId="0DF2465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6174C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C93FF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6164C" id="Text Box 4" o:spid="_x0000_s1027" type="#_x0000_t202" style="position:absolute;margin-left:35pt;margin-top:48.3pt;width:515.95pt;height:4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" filled="f" stroked="f">
              <v:textbox inset="0,0,0,0">
                <w:txbxContent>
                  <w:p w14:paraId="5F6174C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8C93FF9"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57501426">
    <w:abstractNumId w:val="0"/>
  </w:num>
  <w:num w:numId="2" w16cid:durableId="244922795">
    <w:abstractNumId w:val="1"/>
  </w:num>
  <w:num w:numId="3" w16cid:durableId="830877326">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033EE"/>
    <w:rsid w:val="001263DF"/>
    <w:rsid w:val="00150B7B"/>
    <w:rsid w:val="001E763C"/>
    <w:rsid w:val="0021183E"/>
    <w:rsid w:val="00292ED9"/>
    <w:rsid w:val="00314AFB"/>
    <w:rsid w:val="003B76D9"/>
    <w:rsid w:val="00404E5B"/>
    <w:rsid w:val="00414F7B"/>
    <w:rsid w:val="004355DC"/>
    <w:rsid w:val="004749B4"/>
    <w:rsid w:val="00494130"/>
    <w:rsid w:val="004F3523"/>
    <w:rsid w:val="005973B9"/>
    <w:rsid w:val="005B3A56"/>
    <w:rsid w:val="005C4FE2"/>
    <w:rsid w:val="006060CE"/>
    <w:rsid w:val="0063497F"/>
    <w:rsid w:val="00701AFE"/>
    <w:rsid w:val="0078738A"/>
    <w:rsid w:val="007F5013"/>
    <w:rsid w:val="00873DF0"/>
    <w:rsid w:val="008756E6"/>
    <w:rsid w:val="00887A61"/>
    <w:rsid w:val="009B2D44"/>
    <w:rsid w:val="00A07E82"/>
    <w:rsid w:val="00A7799D"/>
    <w:rsid w:val="00A95053"/>
    <w:rsid w:val="00A9710C"/>
    <w:rsid w:val="00AE3E37"/>
    <w:rsid w:val="00B21A57"/>
    <w:rsid w:val="00C33602"/>
    <w:rsid w:val="00CD23C9"/>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3DBE12"/>
  <w15:docId w15:val="{B36E010E-432B-4253-947C-05A79E668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2118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142111004@tmu.edu.tw"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TotalTime>
  <Pages>1</Pages>
  <Words>758</Words>
  <Characters>4327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Thái Bảo Nguyễn Tư</cp:lastModifiedBy>
  <cp:revision>10</cp:revision>
  <dcterms:created xsi:type="dcterms:W3CDTF">2016-08-31T13:10:00Z</dcterms:created>
  <dcterms:modified xsi:type="dcterms:W3CDTF">2023-05-24T17:25:00Z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GrammarlyDocumentId">
    <vt:lpwstr>9a642b57d24392267cb75ce44be7014dc5e88a634595f3d7201993a63582611e</vt:lpwstr>
  </property>
</Properties>
</file>