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Corpo"/>
        <w:rPr>
          <w:rStyle w:val="Nenhum"/>
          <w:color w:val="548dd4"/>
          <w:sz w:val="36"/>
          <w:szCs w:val="36"/>
          <w:u w:color="548dd4"/>
        </w:rPr>
      </w:pPr>
      <w:bookmarkStart w:name="_Hlk461991" w:id="0"/>
      <w:bookmarkEnd w:id="0"/>
      <w:r>
        <w:rPr>
          <w:rStyle w:val="Nenhum"/>
          <w:color w:val="548dd4"/>
          <w:sz w:val="36"/>
          <w:szCs w:val="36"/>
          <w:u w:color="548dd4"/>
          <w:rtl w:val="0"/>
        </w:rPr>
        <w:t>D</w:t>
      </w:r>
      <w:r>
        <w:rPr>
          <w:rStyle w:val="Nenhum"/>
          <w:color w:val="548dd4"/>
          <w:sz w:val="36"/>
          <w:szCs w:val="36"/>
          <w:u w:color="548dd4"/>
          <w:rtl w:val="0"/>
          <w:lang w:val="en-US"/>
        </w:rPr>
        <w:t>ifferent Types of Human Subnormal Corneal Endothelium (SnCE) according to Lifetime Cornea Transparency</w:t>
      </w:r>
    </w:p>
    <w:p>
      <w:pPr>
        <w:pStyle w:val="Body Text"/>
        <w:spacing w:before="73" w:line="198" w:lineRule="exact"/>
        <w:ind w:left="100" w:right="5987" w:firstLine="0"/>
        <w:rPr>
          <w:rStyle w:val="Nenhum"/>
          <w:rFonts w:ascii="Arial" w:cs="Arial" w:hAnsi="Arial" w:eastAsia="Arial"/>
        </w:rPr>
      </w:pPr>
    </w:p>
    <w:p>
      <w:pPr>
        <w:pStyle w:val="Body Text"/>
        <w:spacing w:before="73" w:line="198" w:lineRule="exact"/>
        <w:ind w:left="100" w:right="5987" w:firstLine="0"/>
        <w:rPr>
          <w:rStyle w:val="Nenhum"/>
          <w:rFonts w:ascii="Arial" w:cs="Arial" w:hAnsi="Arial" w:eastAsia="Arial"/>
          <w:lang w:val="pt-PT"/>
        </w:rPr>
      </w:pPr>
      <w:r>
        <w:rPr>
          <w:rStyle w:val="Nenhum"/>
          <w:rFonts w:ascii="Arial" w:hAnsi="Arial"/>
          <w:rtl w:val="0"/>
          <w:lang w:val="pt-PT"/>
        </w:rPr>
        <w:t>Fernando Cesar Abib MD, PhD, Professor of Federal Univsersity of Parana, Brazil; Fernando Abib Eye Clinic, Curitiba, Brazil.</w:t>
      </w:r>
    </w:p>
    <w:p>
      <w:pPr>
        <w:pStyle w:val="Body Text"/>
        <w:spacing w:before="73" w:line="198" w:lineRule="exact"/>
        <w:ind w:left="100" w:right="5987" w:firstLine="0"/>
        <w:rPr>
          <w:rStyle w:val="Nenhum"/>
          <w:rFonts w:ascii="Arial" w:cs="Arial" w:hAnsi="Arial" w:eastAsia="Arial"/>
          <w:lang w:val="pt-PT"/>
        </w:rPr>
      </w:pPr>
      <w:r>
        <w:rPr>
          <w:rStyle w:val="Nenhum"/>
          <w:rFonts w:ascii="Arial" w:hAnsi="Arial"/>
          <w:rtl w:val="0"/>
          <w:lang w:val="pt-PT"/>
        </w:rPr>
        <w:t>Renata Martins dos Santos MD, Fernando Abib Eye Clinic, Curitiba, Brazil.</w:t>
      </w:r>
    </w:p>
    <w:p>
      <w:pPr>
        <w:pStyle w:val="Body Text"/>
        <w:spacing w:before="3"/>
        <w:rPr>
          <w:rStyle w:val="Nenhum"/>
          <w:rFonts w:ascii="Arial" w:cs="Arial" w:hAnsi="Arial" w:eastAsia="Arial"/>
          <w:sz w:val="21"/>
          <w:szCs w:val="21"/>
          <w:lang w:val="pt-PT"/>
        </w:rPr>
      </w:pPr>
    </w:p>
    <w:p>
      <w:pPr>
        <w:pStyle w:val="Corpo"/>
        <w:sectPr>
          <w:headerReference w:type="default" r:id="rId4"/>
          <w:footerReference w:type="default" r:id="rId5"/>
          <w:pgSz w:w="11920" w:h="16840" w:orient="portrait"/>
          <w:pgMar w:top="450" w:right="600" w:bottom="840" w:left="620" w:header="541" w:footer="642"/>
          <w:bidi w:val="0"/>
        </w:sectPr>
      </w:pPr>
    </w:p>
    <w:p>
      <w:pPr>
        <w:pStyle w:val="Normal (Web)"/>
        <w:spacing w:before="0"/>
        <w:jc w:val="both"/>
      </w:pPr>
      <w:r>
        <w:rPr>
          <w:rStyle w:val="Nenhum"/>
          <w:rFonts w:ascii="&amp;quot" w:cs="&amp;quot" w:hAnsi="&amp;quot" w:eastAsia="&amp;quot"/>
          <w:b w:val="1"/>
          <w:bCs w:val="1"/>
          <w:color w:val="1c1c1c"/>
          <w:sz w:val="18"/>
          <w:szCs w:val="18"/>
          <w:u w:color="1c1c1c"/>
          <w:rtl w:val="0"/>
          <w:lang w:val="en-US"/>
        </w:rPr>
        <w:t>Background</w:t>
      </w:r>
      <w:r>
        <w:rPr>
          <w:rStyle w:val="Nenhum"/>
          <w:rFonts w:ascii="&amp;quot" w:cs="&amp;quot" w:hAnsi="&amp;quot" w:eastAsia="&amp;quot"/>
          <w:color w:val="1c1c1c"/>
          <w:sz w:val="18"/>
          <w:szCs w:val="18"/>
          <w:u w:color="1c1c1c"/>
          <w:rtl w:val="0"/>
          <w:lang w:val="en-US"/>
        </w:rPr>
        <w:t xml:space="preserve">: Abnormal corneas have </w:t>
      </w:r>
      <w:r>
        <w:rPr>
          <w:rStyle w:val="Nenhum"/>
          <w:rFonts w:ascii="&amp;quot" w:cs="&amp;quot" w:hAnsi="&amp;quot" w:eastAsia="&amp;quot"/>
          <w:color w:val="1c1c1c"/>
          <w:sz w:val="18"/>
          <w:szCs w:val="18"/>
          <w:u w:color="1c1c1c"/>
          <w:rtl w:val="0"/>
          <w:lang w:val="en-US"/>
        </w:rPr>
        <w:t xml:space="preserve">a </w:t>
      </w:r>
      <w:r>
        <w:rPr>
          <w:rStyle w:val="Nenhum"/>
          <w:rFonts w:ascii="&amp;quot" w:cs="&amp;quot" w:hAnsi="&amp;quot" w:eastAsia="&amp;quot"/>
          <w:color w:val="1c1c1c"/>
          <w:sz w:val="18"/>
          <w:szCs w:val="18"/>
          <w:u w:color="1c1c1c"/>
          <w:rtl w:val="0"/>
          <w:lang w:val="en-US"/>
        </w:rPr>
        <w:t>very low endothelial cell density (ECD). Subnormal corneas have</w:t>
      </w:r>
      <w:r>
        <w:rPr>
          <w:rStyle w:val="Nenhum"/>
          <w:rFonts w:ascii="&amp;quot" w:cs="&amp;quot" w:hAnsi="&amp;quot" w:eastAsia="&amp;quot"/>
          <w:color w:val="1c1c1c"/>
          <w:sz w:val="18"/>
          <w:szCs w:val="18"/>
          <w:u w:color="1c1c1c"/>
          <w:rtl w:val="0"/>
          <w:lang w:val="en-US"/>
        </w:rPr>
        <w:t xml:space="preserve"> </w:t>
      </w:r>
      <w:r>
        <w:rPr>
          <w:rStyle w:val="Nenhum"/>
          <w:rFonts w:ascii="&amp;quot" w:cs="&amp;quot" w:hAnsi="&amp;quot" w:eastAsia="&amp;quot"/>
          <w:color w:val="1c1c1c"/>
          <w:sz w:val="18"/>
          <w:szCs w:val="18"/>
          <w:u w:color="1c1c1c"/>
          <w:rtl w:val="0"/>
          <w:lang w:val="en-US"/>
        </w:rPr>
        <w:t xml:space="preserve">progressive endothelial deterioration of its ECD and morphology, characterized by large ECD range with different clinical status. To </w:t>
      </w:r>
      <w:r>
        <w:rPr>
          <w:rStyle w:val="Nenhum"/>
          <w:rFonts w:ascii="&amp;quot" w:cs="&amp;quot" w:hAnsi="&amp;quot" w:eastAsia="&amp;quot"/>
          <w:color w:val="1c1c1c"/>
          <w:sz w:val="18"/>
          <w:szCs w:val="18"/>
          <w:u w:color="1c1c1c"/>
          <w:rtl w:val="0"/>
          <w:lang w:val="en-US"/>
        </w:rPr>
        <w:t>predict</w:t>
      </w:r>
      <w:r>
        <w:rPr>
          <w:rStyle w:val="Nenhum"/>
          <w:rFonts w:ascii="&amp;quot" w:cs="&amp;quot" w:hAnsi="&amp;quot" w:eastAsia="&amp;quot"/>
          <w:color w:val="1c1c1c"/>
          <w:sz w:val="18"/>
          <w:szCs w:val="18"/>
          <w:u w:color="1c1c1c"/>
          <w:rtl w:val="0"/>
          <w:lang w:val="en-US"/>
        </w:rPr>
        <w:t xml:space="preserve"> if cornea can decompensate (700-400 cells/mm</w:t>
      </w:r>
      <w:r>
        <w:rPr>
          <w:rStyle w:val="Nenhum"/>
          <w:rFonts w:ascii="&amp;quot" w:cs="&amp;quot" w:hAnsi="&amp;quot" w:eastAsia="&amp;quot"/>
          <w:color w:val="1c1c1c"/>
          <w:sz w:val="18"/>
          <w:szCs w:val="18"/>
          <w:u w:color="1c1c1c"/>
          <w:vertAlign w:val="superscript"/>
          <w:rtl w:val="0"/>
          <w:lang w:val="en-US"/>
        </w:rPr>
        <w:t>2</w:t>
      </w:r>
      <w:r>
        <w:rPr>
          <w:rStyle w:val="Nenhum"/>
          <w:rFonts w:ascii="&amp;quot" w:cs="&amp;quot" w:hAnsi="&amp;quot" w:eastAsia="&amp;quot"/>
          <w:color w:val="1c1c1c"/>
          <w:sz w:val="18"/>
          <w:szCs w:val="18"/>
          <w:u w:color="1c1c1c"/>
          <w:rtl w:val="0"/>
          <w:lang w:val="en-US"/>
        </w:rPr>
        <w:t xml:space="preserve">) during lifetime, long term endothelial status must be analyzed according to corneal transparency and life expectancy. </w:t>
      </w:r>
      <w:r>
        <w:rPr>
          <w:rStyle w:val="Nenhum"/>
          <w:rFonts w:ascii="&amp;quot" w:cs="&amp;quot" w:hAnsi="&amp;quot" w:eastAsia="&amp;quot"/>
          <w:b w:val="1"/>
          <w:bCs w:val="1"/>
          <w:color w:val="1c1c1c"/>
          <w:sz w:val="18"/>
          <w:szCs w:val="18"/>
          <w:u w:color="1c1c1c"/>
          <w:rtl w:val="0"/>
          <w:lang w:val="en-US"/>
        </w:rPr>
        <w:t>Purpose</w:t>
      </w:r>
      <w:r>
        <w:rPr>
          <w:rStyle w:val="Nenhum"/>
          <w:rFonts w:ascii="&amp;quot" w:cs="&amp;quot" w:hAnsi="&amp;quot" w:eastAsia="&amp;quot"/>
          <w:color w:val="1c1c1c"/>
          <w:sz w:val="18"/>
          <w:szCs w:val="18"/>
          <w:u w:color="1c1c1c"/>
          <w:rtl w:val="0"/>
          <w:lang w:val="en-US"/>
        </w:rPr>
        <w:t xml:space="preserve">: </w:t>
      </w:r>
      <w:r>
        <w:rPr>
          <w:rStyle w:val="Nenhum"/>
          <w:rFonts w:ascii="&amp;quot" w:cs="&amp;quot" w:hAnsi="&amp;quot" w:eastAsia="&amp;quot"/>
          <w:color w:val="1c1c1c"/>
          <w:sz w:val="18"/>
          <w:szCs w:val="18"/>
          <w:u w:color="1c1c1c"/>
          <w:rtl w:val="0"/>
          <w:lang w:val="en-US"/>
        </w:rPr>
        <w:t>To d</w:t>
      </w:r>
      <w:r>
        <w:rPr>
          <w:rStyle w:val="Nenhum"/>
          <w:rFonts w:ascii="&amp;quot" w:cs="&amp;quot" w:hAnsi="&amp;quot" w:eastAsia="&amp;quot"/>
          <w:color w:val="1c1c1c"/>
          <w:sz w:val="18"/>
          <w:szCs w:val="18"/>
          <w:u w:color="1c1c1c"/>
          <w:rtl w:val="0"/>
          <w:lang w:val="en-US"/>
        </w:rPr>
        <w:t xml:space="preserve">escribe different types of SnCE within average life expectancy of 100 years old. </w:t>
      </w:r>
      <w:r>
        <w:rPr>
          <w:rStyle w:val="Nenhum"/>
          <w:rFonts w:ascii="&amp;quot" w:cs="&amp;quot" w:hAnsi="&amp;quot" w:eastAsia="&amp;quot"/>
          <w:b w:val="1"/>
          <w:bCs w:val="1"/>
          <w:color w:val="1c1c1c"/>
          <w:sz w:val="18"/>
          <w:szCs w:val="18"/>
          <w:u w:color="1c1c1c"/>
          <w:rtl w:val="0"/>
          <w:lang w:val="en-US"/>
        </w:rPr>
        <w:t xml:space="preserve">Methods </w:t>
      </w:r>
      <w:r>
        <w:rPr>
          <w:rStyle w:val="Nenhum"/>
          <w:rFonts w:ascii="&amp;quot" w:cs="&amp;quot" w:hAnsi="&amp;quot" w:eastAsia="&amp;quot"/>
          <w:color w:val="1c1c1c"/>
          <w:sz w:val="18"/>
          <w:szCs w:val="18"/>
          <w:u w:color="1c1c1c"/>
          <w:rtl w:val="0"/>
          <w:lang w:val="en-US"/>
        </w:rPr>
        <w:t>: Cross-sectional study of Specular Microscopy (SM) in</w:t>
      </w:r>
      <w:r>
        <w:rPr>
          <w:rStyle w:val="Nenhum"/>
          <w:rFonts w:ascii="&amp;quot" w:cs="&amp;quot" w:hAnsi="&amp;quot" w:eastAsia="&amp;quot"/>
          <w:color w:val="1c1c1c"/>
          <w:sz w:val="18"/>
          <w:szCs w:val="18"/>
          <w:u w:color="1c1c1c"/>
          <w:rtl w:val="0"/>
          <w:lang w:val="en-US"/>
        </w:rPr>
        <w:t xml:space="preserve"> a</w:t>
      </w:r>
      <w:r>
        <w:rPr>
          <w:rStyle w:val="Nenhum"/>
          <w:rFonts w:ascii="&amp;quot" w:cs="&amp;quot" w:hAnsi="&amp;quot" w:eastAsia="&amp;quot"/>
          <w:color w:val="1c1c1c"/>
          <w:sz w:val="18"/>
          <w:szCs w:val="18"/>
          <w:u w:color="1c1c1c"/>
          <w:rtl w:val="0"/>
          <w:lang w:val="en-US"/>
        </w:rPr>
        <w:t xml:space="preserve"> 10-years period. All ECD data was </w:t>
      </w:r>
      <w:r>
        <w:rPr>
          <w:rStyle w:val="Nenhum"/>
          <w:rFonts w:ascii="&amp;quot" w:cs="&amp;quot" w:hAnsi="&amp;quot" w:eastAsia="&amp;quot"/>
          <w:b w:val="1"/>
          <w:bCs w:val="1"/>
          <w:color w:val="1c1c1c"/>
          <w:sz w:val="18"/>
          <w:szCs w:val="18"/>
          <w:u w:color="1c1c1c"/>
          <w:rtl w:val="0"/>
          <w:lang w:val="en-US"/>
        </w:rPr>
        <w:t>arranged</w:t>
      </w:r>
      <w:r>
        <w:rPr>
          <w:rStyle w:val="Nenhum"/>
          <w:rFonts w:ascii="&amp;quot" w:cs="&amp;quot" w:hAnsi="&amp;quot" w:eastAsia="&amp;quot"/>
          <w:color w:val="1c1c1c"/>
          <w:sz w:val="18"/>
          <w:szCs w:val="18"/>
          <w:u w:color="1c1c1c"/>
          <w:rtl w:val="0"/>
          <w:lang w:val="en-US"/>
        </w:rPr>
        <w:t xml:space="preserve"> in Statistical-Analytical Ruler</w:t>
      </w:r>
      <w:r>
        <w:rPr>
          <w:rStyle w:val="Nenhum"/>
          <w:rFonts w:ascii="&amp;quot" w:cs="&amp;quot" w:hAnsi="&amp;quot" w:eastAsia="&amp;quot"/>
          <w:color w:val="1c1c1c"/>
          <w:sz w:val="18"/>
          <w:szCs w:val="18"/>
          <w:u w:color="1c1c1c"/>
          <w:rtl w:val="0"/>
          <w:lang w:val="en-US"/>
        </w:rPr>
        <w:t>, considering it a r</w:t>
      </w:r>
      <w:r>
        <w:rPr>
          <w:rStyle w:val="Nenhum"/>
          <w:rFonts w:ascii="&amp;quot" w:cs="&amp;quot" w:hAnsi="&amp;quot" w:eastAsia="&amp;quot"/>
          <w:color w:val="1c1c1c"/>
          <w:sz w:val="18"/>
          <w:szCs w:val="18"/>
          <w:u w:color="1c1c1c"/>
          <w:rtl w:val="0"/>
          <w:lang w:val="en-US"/>
        </w:rPr>
        <w:t>eliability index software (Cells Analyzer</w:t>
      </w:r>
      <w:r>
        <w:rPr>
          <w:rStyle w:val="Nenhum"/>
          <w:rFonts w:ascii="&amp;quot" w:cs="&amp;quot" w:hAnsi="&amp;quot" w:eastAsia="&amp;quot"/>
          <w:color w:val="1c1c1c"/>
          <w:sz w:val="18"/>
          <w:szCs w:val="18"/>
          <w:u w:color="1c1c1c"/>
          <w:rtl w:val="0"/>
          <w:lang w:val="en-US"/>
        </w:rPr>
        <w:t xml:space="preserve"> </w:t>
      </w:r>
      <w:r>
        <w:rPr>
          <w:rStyle w:val="Nenhum"/>
          <w:rFonts w:ascii="&amp;quot" w:cs="&amp;quot" w:hAnsi="&amp;quot" w:eastAsia="&amp;quot"/>
          <w:i w:val="1"/>
          <w:iCs w:val="1"/>
          <w:color w:val="1c1c1c"/>
          <w:sz w:val="18"/>
          <w:szCs w:val="18"/>
          <w:u w:color="1c1c1c"/>
          <w:vertAlign w:val="subscript"/>
          <w:rtl w:val="0"/>
          <w:lang w:val="en-US"/>
        </w:rPr>
        <w:t>China Pa</w:t>
      </w:r>
      <w:r>
        <w:rPr>
          <w:rStyle w:val="Nenhum"/>
          <w:rFonts w:ascii="&amp;quot" w:cs="&amp;quot" w:hAnsi="&amp;quot" w:eastAsia="&amp;quot"/>
          <w:i w:val="1"/>
          <w:iCs w:val="1"/>
          <w:color w:val="1c1c1c"/>
          <w:sz w:val="18"/>
          <w:szCs w:val="18"/>
          <w:u w:color="1c1c1c"/>
          <w:vertAlign w:val="subscript"/>
          <w:rtl w:val="0"/>
          <w:lang w:val="en-US"/>
        </w:rPr>
        <w:t>tent</w:t>
      </w:r>
      <w:r>
        <w:rPr>
          <w:rStyle w:val="Nenhum"/>
          <w:rFonts w:ascii="&amp;quot" w:cs="&amp;quot" w:hAnsi="&amp;quot" w:eastAsia="&amp;quot"/>
          <w:color w:val="1c1c1c"/>
          <w:sz w:val="18"/>
          <w:szCs w:val="18"/>
          <w:u w:color="1c1c1c"/>
          <w:rtl w:val="0"/>
          <w:lang w:val="en-US"/>
        </w:rPr>
        <w:t>, Technicall, Brazil)</w:t>
      </w:r>
      <w:r>
        <w:rPr>
          <w:rStyle w:val="Nenhum"/>
          <w:rFonts w:ascii="&amp;quot" w:cs="&amp;quot" w:hAnsi="&amp;quot" w:eastAsia="&amp;quot"/>
          <w:color w:val="1c1c1c"/>
          <w:sz w:val="18"/>
          <w:szCs w:val="18"/>
          <w:u w:color="1c1c1c"/>
          <w:rtl w:val="0"/>
          <w:lang w:val="en-US"/>
        </w:rPr>
        <w:t>,  in a way to</w:t>
      </w:r>
      <w:r>
        <w:rPr>
          <w:rStyle w:val="Nenhum"/>
          <w:rFonts w:ascii="&amp;quot" w:cs="&amp;quot" w:hAnsi="&amp;quot" w:eastAsia="&amp;quot"/>
          <w:color w:val="1c1c1c"/>
          <w:sz w:val="18"/>
          <w:szCs w:val="18"/>
          <w:u w:color="1c1c1c"/>
          <w:rtl w:val="0"/>
          <w:lang w:val="en-US"/>
        </w:rPr>
        <w:t xml:space="preserve"> </w:t>
      </w:r>
      <w:r>
        <w:rPr>
          <w:rStyle w:val="Nenhum"/>
          <w:rFonts w:ascii="&amp;quot" w:cs="&amp;quot" w:hAnsi="&amp;quot" w:eastAsia="&amp;quot"/>
          <w:color w:val="1c1c1c"/>
          <w:sz w:val="18"/>
          <w:szCs w:val="18"/>
          <w:u w:color="1c1c1c"/>
          <w:rtl w:val="0"/>
          <w:lang w:val="en-US"/>
        </w:rPr>
        <w:t>indetify</w:t>
      </w:r>
      <w:r>
        <w:rPr>
          <w:rStyle w:val="Nenhum"/>
          <w:rFonts w:ascii="&amp;quot" w:cs="&amp;quot" w:hAnsi="&amp;quot" w:eastAsia="&amp;quot"/>
          <w:color w:val="1c1c1c"/>
          <w:sz w:val="18"/>
          <w:szCs w:val="18"/>
          <w:u w:color="1c1c1c"/>
          <w:rtl w:val="0"/>
          <w:lang w:val="en-US"/>
        </w:rPr>
        <w:t xml:space="preserve"> if data were within the range of corneal decompensation during lifetime. Each SM were classified in one of the 3 proposed nomina for SnCE according to age and ECD: (1)SnCE with Transparent Cornea within Life Expectancy(TCLE); (2)SnCE with No Transparent Cornea within life Expectancy(No TCLE); (3)Decompensation due to Corneal Endothelium Failure (DCEF)(edema and symptoms). SnCE No TCLE subdivides as (a)Imminent Risk of Corneal Decompensation within Life Expectancy(Imminent DRisk)(1000-700 cells/mm</w:t>
      </w:r>
      <w:r>
        <w:rPr>
          <w:rStyle w:val="Nenhum"/>
          <w:rFonts w:ascii="&amp;quot" w:cs="&amp;quot" w:hAnsi="&amp;quot" w:eastAsia="&amp;quot"/>
          <w:color w:val="1c1c1c"/>
          <w:sz w:val="18"/>
          <w:szCs w:val="18"/>
          <w:u w:color="1c1c1c"/>
          <w:vertAlign w:val="superscript"/>
          <w:rtl w:val="0"/>
          <w:lang w:val="en-US"/>
        </w:rPr>
        <w:t>2</w:t>
      </w:r>
      <w:r>
        <w:rPr>
          <w:rStyle w:val="Nenhum"/>
          <w:rFonts w:ascii="&amp;quot" w:cs="&amp;quot" w:hAnsi="&amp;quot" w:eastAsia="&amp;quot"/>
          <w:color w:val="1c1c1c"/>
          <w:sz w:val="18"/>
          <w:szCs w:val="18"/>
          <w:u w:color="1c1c1c"/>
          <w:rtl w:val="0"/>
          <w:lang w:val="en-US"/>
        </w:rPr>
        <w:t>); (b)Immediate Risk of Corneal Decompensation within Life Expectancy(Immediate DRisk)(700-500 cells/mm</w:t>
      </w:r>
      <w:r>
        <w:rPr>
          <w:rStyle w:val="Nenhum"/>
          <w:rFonts w:ascii="&amp;quot" w:cs="&amp;quot" w:hAnsi="&amp;quot" w:eastAsia="&amp;quot"/>
          <w:color w:val="1c1c1c"/>
          <w:sz w:val="18"/>
          <w:szCs w:val="18"/>
          <w:u w:color="1c1c1c"/>
          <w:vertAlign w:val="superscript"/>
          <w:rtl w:val="0"/>
          <w:lang w:val="en-US"/>
        </w:rPr>
        <w:t>2</w:t>
      </w:r>
      <w:r>
        <w:rPr>
          <w:rStyle w:val="Nenhum"/>
          <w:rFonts w:ascii="&amp;quot" w:cs="&amp;quot" w:hAnsi="&amp;quot" w:eastAsia="&amp;quot"/>
          <w:color w:val="1c1c1c"/>
          <w:sz w:val="18"/>
          <w:szCs w:val="18"/>
          <w:u w:color="1c1c1c"/>
          <w:rtl w:val="0"/>
          <w:lang w:val="en-US"/>
        </w:rPr>
        <w:t xml:space="preserve">). Normal cornea was not used in study. </w:t>
      </w:r>
      <w:r>
        <w:rPr>
          <w:rStyle w:val="Nenhum"/>
          <w:rFonts w:ascii="&amp;quot" w:cs="&amp;quot" w:hAnsi="&amp;quot" w:eastAsia="&amp;quot"/>
          <w:b w:val="1"/>
          <w:bCs w:val="1"/>
          <w:color w:val="1c1c1c"/>
          <w:sz w:val="18"/>
          <w:szCs w:val="18"/>
          <w:u w:color="1c1c1c"/>
          <w:rtl w:val="0"/>
          <w:lang w:val="en-US"/>
        </w:rPr>
        <w:t>Results</w:t>
      </w:r>
      <w:r>
        <w:rPr>
          <w:rStyle w:val="Nenhum"/>
          <w:rFonts w:ascii="&amp;quot" w:cs="&amp;quot" w:hAnsi="&amp;quot" w:eastAsia="&amp;quot"/>
          <w:color w:val="1c1c1c"/>
          <w:sz w:val="18"/>
          <w:szCs w:val="18"/>
          <w:u w:color="1c1c1c"/>
          <w:rtl w:val="0"/>
          <w:lang w:val="en-US"/>
        </w:rPr>
        <w:t>: 9,399 eyes: 7,326 normal(77.94%) and 2,073 SnCE(22.05%). 1387 eyes SnCE TCLE(66.92%), 619 SnCE No TCLE(29.85%); 67 DCEF(3.23%). Within SnCE No TCLE, 412 eyes were Imminent DRisk(19.87%); 207 eyes were Immediate DRisk(9.98%) (Figure). Total populational analysis, SNCE LECT 14.76%; Imminent DRisk 4.38%; Immediate No TCLE 2.20%; DCEF 0.71%.</w:t>
      </w:r>
      <w:r>
        <w:rPr>
          <w:rStyle w:val="Nenhum"/>
          <w:b w:val="1"/>
          <w:bCs w:val="1"/>
          <w:sz w:val="18"/>
          <w:szCs w:val="18"/>
          <w:rtl w:val="0"/>
          <w:lang w:val="en-US"/>
        </w:rPr>
        <w:t>Conclusions</w:t>
      </w:r>
      <w:r>
        <w:rPr>
          <w:rStyle w:val="Nenhum"/>
          <w:rFonts w:ascii="&amp;quot" w:cs="&amp;quot" w:hAnsi="&amp;quot" w:eastAsia="&amp;quot"/>
          <w:color w:val="1c1c1c"/>
          <w:sz w:val="18"/>
          <w:szCs w:val="18"/>
          <w:u w:color="1c1c1c"/>
          <w:rtl w:val="0"/>
          <w:lang w:val="en-US"/>
        </w:rPr>
        <w:t>: 9,399(0 years), the risk for corneal transparency abnormality is approximately 7.29%. SnCE prevalence 22.05%. The presented nomina is useful to describe different patterns of SnCE.</w:t>
      </w:r>
      <w:r>
        <w:rPr>
          <w:rStyle w:val="Nenhum"/>
          <w:rFonts w:ascii="Arial Unicode MS" w:cs="Arial Unicode MS" w:hAnsi="Arial Unicode MS" w:eastAsia="Arial Unicode MS"/>
          <w:b w:val="0"/>
          <w:bCs w:val="0"/>
          <w:i w:val="0"/>
          <w:iCs w:val="0"/>
          <w:sz w:val="18"/>
          <w:szCs w:val="18"/>
        </w:rPr>
        <w:br w:type="column"/>
      </w:r>
    </w:p>
    <w:p>
      <w:pPr>
        <w:pStyle w:val="Normal (Web)"/>
        <w:spacing w:before="0"/>
        <w:jc w:val="both"/>
        <w:rPr>
          <w:rStyle w:val="Nenhum"/>
          <w:sz w:val="18"/>
          <w:szCs w:val="18"/>
        </w:rPr>
      </w:pPr>
      <w:r>
        <w:rPr>
          <w:rStyle w:val="Nenhum"/>
          <w:sz w:val="18"/>
          <w:szCs w:val="18"/>
        </w:rPr>
        <w:drawing>
          <wp:inline distT="0" distB="0" distL="0" distR="0">
            <wp:extent cx="3165475" cy="1784189"/>
            <wp:effectExtent l="0" t="0" r="0" b="0"/>
            <wp:docPr id="1073741830" name="officeArt object" descr="Picture 1"/>
            <wp:cNvGraphicFramePr/>
            <a:graphic xmlns:a="http://schemas.openxmlformats.org/drawingml/2006/main">
              <a:graphicData uri="http://schemas.openxmlformats.org/drawingml/2006/picture">
                <pic:pic xmlns:pic="http://schemas.openxmlformats.org/drawingml/2006/picture">
                  <pic:nvPicPr>
                    <pic:cNvPr id="1073741830" name="Picture 1" descr="Picture 1"/>
                    <pic:cNvPicPr>
                      <a:picLocks noChangeAspect="1"/>
                    </pic:cNvPicPr>
                  </pic:nvPicPr>
                  <pic:blipFill>
                    <a:blip r:embed="rId6">
                      <a:extLst/>
                    </a:blip>
                    <a:stretch>
                      <a:fillRect/>
                    </a:stretch>
                  </pic:blipFill>
                  <pic:spPr>
                    <a:xfrm>
                      <a:off x="0" y="0"/>
                      <a:ext cx="3165475" cy="1784189"/>
                    </a:xfrm>
                    <a:prstGeom prst="rect">
                      <a:avLst/>
                    </a:prstGeom>
                    <a:ln w="12700" cap="flat">
                      <a:noFill/>
                      <a:miter lim="400000"/>
                    </a:ln>
                    <a:effectLst/>
                  </pic:spPr>
                </pic:pic>
              </a:graphicData>
            </a:graphic>
          </wp:inline>
        </w:drawing>
      </w:r>
      <w:r>
        <w:rPr>
          <w:rStyle w:val="Nenhum"/>
          <w:rFonts w:ascii="Arial Unicode MS" w:cs="Arial Unicode MS" w:hAnsi="Arial Unicode MS" w:eastAsia="Arial Unicode MS"/>
          <w:b w:val="0"/>
          <w:bCs w:val="0"/>
          <w:i w:val="0"/>
          <w:iCs w:val="0"/>
          <w:color w:val="bf5a14"/>
          <w:sz w:val="18"/>
          <w:szCs w:val="18"/>
          <w:u w:color="bf5a14"/>
        </w:rPr>
        <w:br w:type="textWrapping"/>
      </w:r>
      <w:r>
        <w:rPr>
          <w:rStyle w:val="Nenhum"/>
          <w:rFonts w:ascii="Arial" w:hAnsi="Arial"/>
          <w:b w:val="1"/>
          <w:bCs w:val="1"/>
          <w:color w:val="bf5a14"/>
          <w:sz w:val="18"/>
          <w:szCs w:val="18"/>
          <w:u w:color="bf5a14"/>
          <w:rtl w:val="0"/>
          <w:lang w:val="en-US"/>
        </w:rPr>
        <w:t>Reference</w:t>
      </w:r>
      <w:r>
        <w:rPr>
          <w:rStyle w:val="Nenhum"/>
          <w:rFonts w:ascii="Arial Unicode MS" w:cs="Arial Unicode MS" w:hAnsi="Arial Unicode MS" w:eastAsia="Arial Unicode MS"/>
          <w:b w:val="0"/>
          <w:bCs w:val="0"/>
          <w:i w:val="0"/>
          <w:iCs w:val="0"/>
          <w:color w:val="bf5a14"/>
          <w:sz w:val="18"/>
          <w:szCs w:val="18"/>
          <w:u w:color="bf5a14"/>
        </w:rPr>
        <w:br w:type="textWrapping"/>
      </w:r>
      <w:r>
        <w:rPr>
          <w:rStyle w:val="Nenhum"/>
          <w:sz w:val="18"/>
          <w:szCs w:val="18"/>
          <w:rtl w:val="0"/>
          <w:lang w:val="en-US"/>
        </w:rPr>
        <w:t xml:space="preserve">ABIB, F. C. </w:t>
      </w:r>
      <w:r>
        <w:rPr>
          <w:rStyle w:val="Nenhum"/>
          <w:b w:val="1"/>
          <w:bCs w:val="1"/>
          <w:sz w:val="18"/>
          <w:szCs w:val="18"/>
          <w:rtl w:val="0"/>
          <w:lang w:val="en-US"/>
        </w:rPr>
        <w:t>Predicting Corneal Decompensation</w:t>
      </w:r>
      <w:r>
        <w:rPr>
          <w:rStyle w:val="Nenhum"/>
          <w:sz w:val="18"/>
          <w:szCs w:val="18"/>
          <w:rtl w:val="0"/>
          <w:lang w:val="en-US"/>
        </w:rPr>
        <w:t>. ARVO Imaging in the Eye Conference: ARVO The Association for Research in Vision and Ophthalmology</w:t>
      </w:r>
      <w:r>
        <w:rPr>
          <w:rStyle w:val="Nenhum"/>
          <w:b w:val="1"/>
          <w:bCs w:val="1"/>
          <w:sz w:val="18"/>
          <w:szCs w:val="18"/>
          <w:rtl w:val="0"/>
          <w:lang w:val="en-US"/>
        </w:rPr>
        <w:t xml:space="preserve">: </w:t>
      </w:r>
      <w:r>
        <w:rPr>
          <w:rStyle w:val="Nenhum"/>
          <w:sz w:val="18"/>
          <w:szCs w:val="18"/>
          <w:rtl w:val="0"/>
          <w:lang w:val="en-US"/>
        </w:rPr>
        <w:t xml:space="preserve">142 -143 p. 2015.   </w:t>
      </w:r>
      <w:r>
        <w:rPr>
          <w:rStyle w:val="Nenhum"/>
          <w:rFonts w:ascii="Arial Unicode MS" w:cs="Arial Unicode MS" w:hAnsi="Arial Unicode MS" w:eastAsia="Arial Unicode MS"/>
          <w:b w:val="0"/>
          <w:bCs w:val="0"/>
          <w:i w:val="0"/>
          <w:iCs w:val="0"/>
          <w:sz w:val="18"/>
          <w:szCs w:val="18"/>
        </w:rPr>
        <w:br w:type="textWrapping"/>
      </w:r>
      <w:r>
        <w:rPr>
          <w:rStyle w:val="Nenhum"/>
          <w:sz w:val="18"/>
          <w:szCs w:val="18"/>
          <w:rtl w:val="0"/>
          <w:lang w:val="en-US"/>
        </w:rPr>
        <w:t xml:space="preserve">ABIB,F.C. Ten years of Specular Microscopy performed in a Cornea Service. </w:t>
      </w:r>
      <w:r>
        <w:rPr>
          <w:rStyle w:val="Nenhum"/>
          <w:b w:val="1"/>
          <w:bCs w:val="1"/>
          <w:sz w:val="18"/>
          <w:szCs w:val="18"/>
          <w:rtl w:val="0"/>
          <w:lang w:val="en-US"/>
        </w:rPr>
        <w:t xml:space="preserve">Investigative Ophthalmology &amp; Visual Science, </w:t>
      </w:r>
      <w:r>
        <w:rPr>
          <w:rStyle w:val="Nenhum"/>
          <w:sz w:val="18"/>
          <w:szCs w:val="18"/>
          <w:rtl w:val="0"/>
          <w:lang w:val="en-US"/>
        </w:rPr>
        <w:t>v. 58, n. 8, p. 3502-3502,  2017. ISSN 1552-5783. Dispon</w:t>
      </w:r>
      <w:r>
        <w:rPr>
          <w:rStyle w:val="Nenhum"/>
          <w:sz w:val="18"/>
          <w:szCs w:val="18"/>
          <w:rtl w:val="0"/>
          <w:lang w:val="en-US"/>
        </w:rPr>
        <w:t>í</w:t>
      </w:r>
      <w:r>
        <w:rPr>
          <w:rStyle w:val="Nenhum"/>
          <w:sz w:val="18"/>
          <w:szCs w:val="18"/>
          <w:rtl w:val="0"/>
          <w:lang w:val="en-US"/>
        </w:rPr>
        <w:t xml:space="preserve">vel em: &lt; </w:t>
      </w:r>
      <w:r>
        <w:rPr>
          <w:rStyle w:val="Hyperlink.1"/>
        </w:rPr>
        <w:fldChar w:fldCharType="begin" w:fldLock="0"/>
      </w:r>
      <w:r>
        <w:rPr>
          <w:rStyle w:val="Hyperlink.1"/>
        </w:rPr>
        <w:instrText xml:space="preserve"> HYPERLINK "http://dx.doi.org/"</w:instrText>
      </w:r>
      <w:r>
        <w:rPr>
          <w:rStyle w:val="Hyperlink.1"/>
        </w:rPr>
        <w:fldChar w:fldCharType="separate" w:fldLock="0"/>
      </w:r>
      <w:r>
        <w:rPr>
          <w:rStyle w:val="Hyperlink.1"/>
          <w:rtl w:val="0"/>
          <w:lang w:val="en-US"/>
        </w:rPr>
        <w:t>http://dx.doi.org/</w:t>
      </w:r>
      <w:r>
        <w:rPr/>
        <w:fldChar w:fldCharType="end" w:fldLock="0"/>
      </w:r>
      <w:r>
        <w:rPr>
          <w:rStyle w:val="Nenhum"/>
          <w:sz w:val="18"/>
          <w:szCs w:val="18"/>
          <w:rtl w:val="0"/>
          <w:lang w:val="en-US"/>
        </w:rPr>
        <w:t xml:space="preserve"> &gt;. </w:t>
      </w:r>
      <w:r>
        <w:rPr>
          <w:rStyle w:val="Nenhum"/>
          <w:rFonts w:ascii="Arial Unicode MS" w:cs="Arial Unicode MS" w:hAnsi="Arial Unicode MS" w:eastAsia="Arial Unicode MS"/>
          <w:b w:val="0"/>
          <w:bCs w:val="0"/>
          <w:i w:val="0"/>
          <w:iCs w:val="0"/>
          <w:sz w:val="18"/>
          <w:szCs w:val="18"/>
        </w:rPr>
        <w:br w:type="textWrapping"/>
      </w:r>
      <w:r>
        <w:rPr>
          <w:rStyle w:val="Nenhum"/>
          <w:sz w:val="18"/>
          <w:szCs w:val="18"/>
          <w:rtl w:val="0"/>
          <w:lang w:val="en-US"/>
        </w:rPr>
        <w:t xml:space="preserve">EDELHAUSER, H. F. The balance between corneal transparency and edema: the Proctor Lecture. </w:t>
      </w:r>
      <w:r>
        <w:rPr>
          <w:rStyle w:val="Nenhum"/>
          <w:b w:val="1"/>
          <w:bCs w:val="1"/>
          <w:sz w:val="18"/>
          <w:szCs w:val="18"/>
          <w:rtl w:val="0"/>
          <w:lang w:val="en-US"/>
        </w:rPr>
        <w:t xml:space="preserve">Invest Ophthalmol Vis Sci, </w:t>
      </w:r>
      <w:r>
        <w:rPr>
          <w:rStyle w:val="Nenhum"/>
          <w:sz w:val="18"/>
          <w:szCs w:val="18"/>
          <w:rtl w:val="0"/>
          <w:lang w:val="en-US"/>
        </w:rPr>
        <w:t>v. 47, n. 5, p. 1754-67, May 2006. ISSN 0146-0404. Dispon</w:t>
      </w:r>
      <w:r>
        <w:rPr>
          <w:rStyle w:val="Nenhum"/>
          <w:sz w:val="18"/>
          <w:szCs w:val="18"/>
          <w:rtl w:val="0"/>
          <w:lang w:val="en-US"/>
        </w:rPr>
        <w:t>í</w:t>
      </w:r>
      <w:r>
        <w:rPr>
          <w:rStyle w:val="Nenhum"/>
          <w:sz w:val="18"/>
          <w:szCs w:val="18"/>
          <w:rtl w:val="0"/>
          <w:lang w:val="en-US"/>
        </w:rPr>
        <w:t xml:space="preserve">vel em: &lt; </w:t>
      </w:r>
      <w:r>
        <w:rPr>
          <w:rStyle w:val="Hyperlink.1"/>
        </w:rPr>
        <w:fldChar w:fldCharType="begin" w:fldLock="0"/>
      </w:r>
      <w:r>
        <w:rPr>
          <w:rStyle w:val="Hyperlink.1"/>
        </w:rPr>
        <w:instrText xml:space="preserve"> HYPERLINK "http://www.ncbi.nlm.nih.gov/pubmed/16638979"</w:instrText>
      </w:r>
      <w:r>
        <w:rPr>
          <w:rStyle w:val="Hyperlink.1"/>
        </w:rPr>
        <w:fldChar w:fldCharType="separate" w:fldLock="0"/>
      </w:r>
      <w:r>
        <w:rPr>
          <w:rStyle w:val="Hyperlink.1"/>
          <w:rtl w:val="0"/>
          <w:lang w:val="en-US"/>
        </w:rPr>
        <w:t>http://www.ncbi.nlm.nih.gov/pubmed/16638979</w:t>
      </w:r>
      <w:r>
        <w:rPr/>
        <w:fldChar w:fldCharType="end" w:fldLock="0"/>
      </w:r>
      <w:r>
        <w:rPr>
          <w:rStyle w:val="Nenhum"/>
          <w:sz w:val="18"/>
          <w:szCs w:val="18"/>
          <w:rtl w:val="0"/>
          <w:lang w:val="en-US"/>
        </w:rPr>
        <w:t xml:space="preserve"> &gt;. </w:t>
      </w:r>
      <w:r>
        <w:rPr>
          <w:rStyle w:val="Nenhum"/>
          <w:rFonts w:ascii="Arial Unicode MS" w:cs="Arial Unicode MS" w:hAnsi="Arial Unicode MS" w:eastAsia="Arial Unicode MS"/>
          <w:b w:val="0"/>
          <w:bCs w:val="0"/>
          <w:i w:val="0"/>
          <w:iCs w:val="0"/>
          <w:sz w:val="18"/>
          <w:szCs w:val="18"/>
        </w:rPr>
        <w:br w:type="textWrapping"/>
      </w:r>
      <w:r>
        <w:rPr>
          <w:rStyle w:val="Nenhum"/>
          <w:sz w:val="18"/>
          <w:szCs w:val="18"/>
          <w:rtl w:val="0"/>
          <w:lang w:val="en-US"/>
        </w:rPr>
        <w:t xml:space="preserve">LAING, R. A.; OAK, S. S.; LEIBOWITZ, H. M. Specialized Microscopy of the Cornea: Specular Microscopy. In: LEIBOWITZ, H. M. e WARRING III, G. O. (Ed.). </w:t>
      </w:r>
      <w:r>
        <w:rPr>
          <w:rStyle w:val="Nenhum"/>
          <w:b w:val="1"/>
          <w:bCs w:val="1"/>
          <w:sz w:val="18"/>
          <w:szCs w:val="18"/>
          <w:rtl w:val="0"/>
          <w:lang w:val="en-US"/>
        </w:rPr>
        <w:t>Corneal Disorders, Clinical diagnosis and management</w:t>
      </w:r>
      <w:r>
        <w:rPr>
          <w:rStyle w:val="Nenhum"/>
          <w:sz w:val="18"/>
          <w:szCs w:val="18"/>
          <w:rtl w:val="0"/>
          <w:lang w:val="en-US"/>
        </w:rPr>
        <w:t>. 2</w:t>
      </w:r>
      <w:r>
        <w:rPr>
          <w:rStyle w:val="Nenhum"/>
          <w:sz w:val="18"/>
          <w:szCs w:val="18"/>
          <w:vertAlign w:val="superscript"/>
          <w:rtl w:val="0"/>
          <w:lang w:val="en-US"/>
        </w:rPr>
        <w:t>nd</w:t>
      </w:r>
      <w:r>
        <w:rPr>
          <w:rStyle w:val="Nenhum"/>
          <w:sz w:val="18"/>
          <w:szCs w:val="18"/>
          <w:rtl w:val="0"/>
          <w:lang w:val="en-US"/>
        </w:rPr>
        <w:t xml:space="preserve">. Philadelphia: W.B. Saunders, 1998. cap. 3, p.1172.  </w:t>
      </w:r>
      <w:r>
        <w:rPr>
          <w:rStyle w:val="Nenhum"/>
          <w:rFonts w:ascii="Arial Unicode MS" w:cs="Arial Unicode MS" w:hAnsi="Arial Unicode MS" w:eastAsia="Arial Unicode MS"/>
          <w:b w:val="0"/>
          <w:bCs w:val="0"/>
          <w:i w:val="0"/>
          <w:iCs w:val="0"/>
          <w:sz w:val="18"/>
          <w:szCs w:val="18"/>
        </w:rPr>
        <w:br w:type="textWrapping"/>
      </w:r>
      <w:r>
        <w:rPr>
          <w:rStyle w:val="Nenhum"/>
          <w:sz w:val="18"/>
          <w:szCs w:val="18"/>
          <w:rtl w:val="0"/>
          <w:lang w:val="en-US"/>
        </w:rPr>
        <w:t xml:space="preserve">SAKANO, L. Y.  et al. CLASSIFICATION OF DIFFERENT MORPHOMETRIC PROFILES OF HUMAN CORNEAL ENDOTHELIUM. </w:t>
      </w:r>
      <w:r>
        <w:rPr>
          <w:rStyle w:val="Nenhum"/>
          <w:b w:val="1"/>
          <w:bCs w:val="1"/>
          <w:sz w:val="18"/>
          <w:szCs w:val="18"/>
          <w:rtl w:val="0"/>
          <w:lang w:val="en-US"/>
        </w:rPr>
        <w:t xml:space="preserve">Investigative Ophthalmology &amp; Visual Science, </w:t>
      </w:r>
      <w:r>
        <w:rPr>
          <w:rStyle w:val="Nenhum"/>
          <w:sz w:val="18"/>
          <w:szCs w:val="18"/>
          <w:rtl w:val="0"/>
          <w:lang w:val="en-US"/>
        </w:rPr>
        <w:t>v. 59, n. 9, p. 2906-2906,  2018. ISSN 1552-5783. Dispon</w:t>
      </w:r>
      <w:r>
        <w:rPr>
          <w:rStyle w:val="Nenhum"/>
          <w:sz w:val="18"/>
          <w:szCs w:val="18"/>
          <w:rtl w:val="0"/>
          <w:lang w:val="en-US"/>
        </w:rPr>
        <w:t>í</w:t>
      </w:r>
      <w:r>
        <w:rPr>
          <w:rStyle w:val="Nenhum"/>
          <w:sz w:val="18"/>
          <w:szCs w:val="18"/>
          <w:rtl w:val="0"/>
          <w:lang w:val="en-US"/>
        </w:rPr>
        <w:t xml:space="preserve">vel em: &lt; </w:t>
      </w:r>
      <w:r>
        <w:rPr>
          <w:rStyle w:val="Hyperlink.1"/>
        </w:rPr>
        <w:fldChar w:fldCharType="begin" w:fldLock="0"/>
      </w:r>
      <w:r>
        <w:rPr>
          <w:rStyle w:val="Hyperlink.1"/>
        </w:rPr>
        <w:instrText xml:space="preserve"> HYPERLINK "http://dx.doi.org/"</w:instrText>
      </w:r>
      <w:r>
        <w:rPr>
          <w:rStyle w:val="Hyperlink.1"/>
        </w:rPr>
        <w:fldChar w:fldCharType="separate" w:fldLock="0"/>
      </w:r>
      <w:r>
        <w:rPr>
          <w:rStyle w:val="Hyperlink.1"/>
          <w:rtl w:val="0"/>
          <w:lang w:val="en-US"/>
        </w:rPr>
        <w:t>http://dx.doi.org/</w:t>
      </w:r>
      <w:r>
        <w:rPr/>
        <w:fldChar w:fldCharType="end" w:fldLock="0"/>
      </w:r>
      <w:r>
        <w:rPr>
          <w:rStyle w:val="Nenhum"/>
          <w:sz w:val="18"/>
          <w:szCs w:val="18"/>
          <w:rtl w:val="0"/>
          <w:lang w:val="en-US"/>
        </w:rPr>
        <w:t xml:space="preserve"> &gt;.    </w:t>
      </w:r>
    </w:p>
    <w:p>
      <w:pPr>
        <w:pStyle w:val="EndNote Bibliography"/>
        <w:sectPr>
          <w:type w:val="continuous"/>
          <w:pgSz w:w="11920" w:h="16840" w:orient="portrait"/>
          <w:pgMar w:top="450" w:right="600" w:bottom="840" w:left="620" w:header="541" w:footer="642"/>
          <w:cols w:num="2" w:equalWidth="0">
            <w:col w:w="5219" w:space="138"/>
            <w:col w:w="5343" w:space="0"/>
          </w:cols>
          <w:bidi w:val="0"/>
        </w:sectPr>
      </w:pPr>
    </w:p>
    <w:p>
      <w:pPr>
        <w:pStyle w:val="Body Text"/>
        <w:rPr>
          <w:rFonts w:ascii="Calibri" w:cs="Calibri" w:hAnsi="Calibri" w:eastAsia="Calibri"/>
          <w:sz w:val="20"/>
          <w:szCs w:val="20"/>
        </w:rPr>
      </w:pPr>
    </w:p>
    <w:p>
      <w:pPr>
        <w:pStyle w:val="Body Text"/>
        <w:spacing w:line="40" w:lineRule="exact"/>
        <w:ind w:left="2202" w:firstLine="0"/>
        <w:rPr>
          <w:rStyle w:val="Nenhum"/>
          <w:rFonts w:ascii="Calibri" w:cs="Calibri" w:hAnsi="Calibri" w:eastAsia="Calibri"/>
          <w:sz w:val="4"/>
          <w:szCs w:val="4"/>
        </w:rPr>
      </w:pPr>
      <w:r>
        <w:rPr>
          <w:rStyle w:val="Nenhum"/>
          <w:rFonts w:ascii="Calibri" w:cs="Calibri" w:hAnsi="Calibri" w:eastAsia="Calibri"/>
          <w:sz w:val="4"/>
          <w:szCs w:val="4"/>
        </w:rPr>
        <mc:AlternateContent>
          <mc:Choice Requires="wps">
            <w:drawing>
              <wp:inline distT="0" distB="0" distL="0" distR="0">
                <wp:extent cx="3950335" cy="0"/>
                <wp:effectExtent l="0" t="0" r="0" b="0"/>
                <wp:docPr id="1073741831"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Corpo"/>
        <w:spacing w:before="92"/>
        <w:ind w:right="4234"/>
      </w:pPr>
      <w:r>
        <w:rPr>
          <w:rtl w:val="0"/>
        </w:rPr>
        <w:t xml:space="preserve">              </w:t>
      </w:r>
      <w:r>
        <w:drawing>
          <wp:inline distT="0" distB="0" distL="0" distR="0">
            <wp:extent cx="642796" cy="964436"/>
            <wp:effectExtent l="0" t="0" r="0" b="0"/>
            <wp:docPr id="1073741832" name="officeArt object" descr="Picture 2"/>
            <wp:cNvGraphicFramePr/>
            <a:graphic xmlns:a="http://schemas.openxmlformats.org/drawingml/2006/main">
              <a:graphicData uri="http://schemas.openxmlformats.org/drawingml/2006/picture">
                <pic:pic xmlns:pic="http://schemas.openxmlformats.org/drawingml/2006/picture">
                  <pic:nvPicPr>
                    <pic:cNvPr id="1073741832" name="Picture 2" descr="Picture 2"/>
                    <pic:cNvPicPr>
                      <a:picLocks noChangeAspect="1"/>
                    </pic:cNvPicPr>
                  </pic:nvPicPr>
                  <pic:blipFill>
                    <a:blip r:embed="rId7">
                      <a:extLst/>
                    </a:blip>
                    <a:stretch>
                      <a:fillRect/>
                    </a:stretch>
                  </pic:blipFill>
                  <pic:spPr>
                    <a:xfrm>
                      <a:off x="0" y="0"/>
                      <a:ext cx="642796" cy="964436"/>
                    </a:xfrm>
                    <a:prstGeom prst="rect">
                      <a:avLst/>
                    </a:prstGeom>
                    <a:ln w="12700" cap="flat">
                      <a:noFill/>
                      <a:miter lim="400000"/>
                    </a:ln>
                    <a:effectLst/>
                  </pic:spPr>
                </pic:pic>
              </a:graphicData>
            </a:graphic>
          </wp:inline>
        </w:drawing>
      </w:r>
    </w:p>
    <w:p>
      <w:pPr>
        <w:pStyle w:val="Corpo"/>
        <w:spacing w:before="92"/>
        <w:ind w:right="4234"/>
        <w:rPr>
          <w:rStyle w:val="Nenhum"/>
          <w:rFonts w:ascii="Arial" w:cs="Arial" w:hAnsi="Arial" w:eastAsia="Arial"/>
        </w:rPr>
      </w:pPr>
      <w:r>
        <w:rPr>
          <w:rtl w:val="0"/>
        </w:rPr>
        <w:t xml:space="preserve">   </w:t>
      </w:r>
      <w:r>
        <w:rPr>
          <w:rStyle w:val="Nenhum"/>
          <w:rFonts w:ascii="Arial" w:hAnsi="Arial"/>
          <w:color w:val="bf5a14"/>
          <w:u w:color="bf5a14"/>
          <w:rtl w:val="0"/>
          <w:lang w:val="fr-FR"/>
        </w:rPr>
        <w:t>Biography</w:t>
      </w:r>
    </w:p>
    <w:p>
      <w:pPr>
        <w:pStyle w:val="Corpo"/>
        <w:rPr>
          <w:rStyle w:val="Nenhum"/>
          <w:rFonts w:ascii="Arial" w:cs="Arial" w:hAnsi="Arial" w:eastAsia="Arial"/>
          <w:color w:val="666666"/>
          <w:sz w:val="17"/>
          <w:szCs w:val="17"/>
          <w:u w:color="666666"/>
          <w:shd w:val="clear" w:color="auto" w:fill="ffffff"/>
        </w:rPr>
      </w:pPr>
      <w:r>
        <w:rPr>
          <w:rStyle w:val="Nenhum"/>
          <w:rFonts w:ascii="Arial" w:hAnsi="Arial"/>
          <w:sz w:val="14"/>
          <w:szCs w:val="14"/>
          <w:rtl w:val="0"/>
          <w:lang w:val="en-US"/>
        </w:rPr>
        <w:t>Fernando Cesar Abib, graduated in Medicine - Federal University of Paran</w:t>
      </w:r>
      <w:r>
        <w:rPr>
          <w:rStyle w:val="Nenhum"/>
          <w:rFonts w:ascii="Arial" w:hAnsi="Arial" w:hint="default"/>
          <w:sz w:val="14"/>
          <w:szCs w:val="14"/>
          <w:rtl w:val="0"/>
        </w:rPr>
        <w:t xml:space="preserve">á </w:t>
      </w:r>
      <w:r>
        <w:rPr>
          <w:rStyle w:val="Nenhum"/>
          <w:rFonts w:ascii="Arial" w:hAnsi="Arial"/>
          <w:sz w:val="14"/>
          <w:szCs w:val="14"/>
          <w:rtl w:val="0"/>
          <w:lang w:val="en-US"/>
        </w:rPr>
        <w:t>(1989), residency in ophthalmology at the Hospital of the Federal University of Paran</w:t>
      </w:r>
      <w:r>
        <w:rPr>
          <w:rStyle w:val="Nenhum"/>
          <w:rFonts w:ascii="Arial" w:hAnsi="Arial" w:hint="default"/>
          <w:sz w:val="14"/>
          <w:szCs w:val="14"/>
          <w:rtl w:val="0"/>
        </w:rPr>
        <w:t>á</w:t>
      </w:r>
      <w:r>
        <w:rPr>
          <w:rStyle w:val="Nenhum"/>
          <w:rFonts w:ascii="Arial" w:hAnsi="Arial"/>
          <w:sz w:val="14"/>
          <w:szCs w:val="14"/>
          <w:rtl w:val="0"/>
          <w:lang w:val="en-US"/>
        </w:rPr>
        <w:t>, Brazil (1991), specialization in Occupational Health, Federal University of Paran</w:t>
      </w:r>
      <w:r>
        <w:rPr>
          <w:rStyle w:val="Nenhum"/>
          <w:rFonts w:ascii="Arial" w:hAnsi="Arial" w:hint="default"/>
          <w:sz w:val="14"/>
          <w:szCs w:val="14"/>
          <w:rtl w:val="0"/>
        </w:rPr>
        <w:t xml:space="preserve">á </w:t>
      </w:r>
      <w:r>
        <w:rPr>
          <w:rStyle w:val="Nenhum"/>
          <w:rFonts w:ascii="Arial" w:hAnsi="Arial"/>
          <w:sz w:val="14"/>
          <w:szCs w:val="14"/>
          <w:rtl w:val="0"/>
          <w:lang w:val="en-US"/>
        </w:rPr>
        <w:t>(1993) and Doctorate in Medicine - Ophthalmology, Federal University Minas Gerais (1994). Associated Professor of Human Anatomy - Federal University of Paran</w:t>
      </w:r>
      <w:r>
        <w:rPr>
          <w:rStyle w:val="Nenhum"/>
          <w:rFonts w:ascii="Arial" w:hAnsi="Arial" w:hint="default"/>
          <w:sz w:val="14"/>
          <w:szCs w:val="14"/>
          <w:rtl w:val="0"/>
        </w:rPr>
        <w:t>á</w:t>
      </w:r>
      <w:r>
        <w:rPr>
          <w:rStyle w:val="Nenhum"/>
          <w:rFonts w:ascii="Arial" w:hAnsi="Arial"/>
          <w:sz w:val="14"/>
          <w:szCs w:val="14"/>
          <w:rtl w:val="0"/>
          <w:lang w:val="en-US"/>
        </w:rPr>
        <w:t>. Head Ophthalmologist of Ocular Oncology at Erasto Gaertner Hospital - Curitiba, Paran</w:t>
      </w:r>
      <w:r>
        <w:rPr>
          <w:rStyle w:val="Nenhum"/>
          <w:rFonts w:ascii="Arial" w:hAnsi="Arial" w:hint="default"/>
          <w:sz w:val="14"/>
          <w:szCs w:val="14"/>
          <w:rtl w:val="0"/>
        </w:rPr>
        <w:t>á</w:t>
      </w:r>
      <w:r>
        <w:rPr>
          <w:rStyle w:val="Nenhum"/>
          <w:rFonts w:ascii="Arial" w:hAnsi="Arial"/>
          <w:sz w:val="14"/>
          <w:szCs w:val="14"/>
          <w:rtl w:val="0"/>
          <w:lang w:val="en-US"/>
        </w:rPr>
        <w:t>. In addition to general ophthalmology has experience in ocular anatomy and physiology, cornea, and ocular oncology. He is a researcher and developed an unprecedented method to determine the smallest number of endothelial cells for specular microscopy to obtain a sampling error accepted by medical science, customizing it to the reality of the examined cornea. Developed an unprecedented methodology to analyze the results of this examination through age control. Patented processes in several countries: Canada, China, the United States of America, Japan.</w:t>
      </w:r>
    </w:p>
    <w:p>
      <w:pPr>
        <w:pStyle w:val="Corpo"/>
        <w:spacing w:before="41" w:line="154" w:lineRule="exact"/>
        <w:ind w:left="213" w:right="231" w:firstLine="0"/>
        <w:jc w:val="both"/>
        <w:rPr>
          <w:rStyle w:val="Nenhum"/>
          <w:rFonts w:ascii="Arial" w:cs="Arial" w:hAnsi="Arial" w:eastAsia="Arial"/>
          <w:sz w:val="14"/>
          <w:szCs w:val="14"/>
        </w:rPr>
      </w:pPr>
    </w:p>
    <w:p>
      <w:pPr>
        <w:pStyle w:val="Corpo"/>
        <w:spacing w:before="62"/>
        <w:ind w:left="4217" w:right="4235" w:firstLine="0"/>
        <w:jc w:val="center"/>
        <w:rPr>
          <w:rStyle w:val="Nenhum"/>
          <w:rFonts w:ascii="Arial" w:cs="Arial" w:hAnsi="Arial" w:eastAsia="Arial"/>
          <w:sz w:val="14"/>
          <w:szCs w:val="14"/>
        </w:rPr>
      </w:pPr>
      <w:r>
        <w:rPr>
          <w:rStyle w:val="Nenhum"/>
          <w:rFonts w:ascii="Arial" w:hAnsi="Arial"/>
          <w:sz w:val="14"/>
          <w:szCs w:val="14"/>
          <w:rtl w:val="0"/>
        </w:rPr>
        <w:t xml:space="preserve">Email: </w:t>
      </w:r>
      <w:r>
        <w:rPr>
          <w:rStyle w:val="Link"/>
          <w:rFonts w:ascii="Arial" w:hAnsi="Arial"/>
          <w:sz w:val="14"/>
          <w:szCs w:val="14"/>
          <w:rtl w:val="0"/>
          <w:lang w:val="it-IT"/>
        </w:rPr>
        <w:t>drfcabib@mps.com.br</w:t>
      </w:r>
    </w:p>
    <w:p>
      <w:pPr>
        <w:pStyle w:val="Body Text"/>
        <w:spacing w:before="2"/>
        <w:rPr>
          <w:rStyle w:val="Nenhum"/>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3"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enhum"/>
          <w:rFonts w:ascii="Arial" w:cs="Arial" w:hAnsi="Arial" w:eastAsia="Arial"/>
          <w:sz w:val="20"/>
          <w:szCs w:val="20"/>
        </w:rPr>
      </w:pPr>
    </w:p>
    <w:p>
      <w:pPr>
        <w:pStyle w:val="Body Text"/>
        <w:rPr>
          <w:rStyle w:val="Nenhum"/>
          <w:rFonts w:ascii="Arial" w:cs="Arial" w:hAnsi="Arial" w:eastAsia="Arial"/>
          <w:sz w:val="20"/>
          <w:szCs w:val="20"/>
        </w:rPr>
      </w:pPr>
    </w:p>
    <w:p>
      <w:pPr>
        <w:pStyle w:val="Body Text"/>
        <w:spacing w:before="7"/>
        <w:rPr>
          <w:rStyle w:val="Nenhum"/>
          <w:rFonts w:ascii="Arial" w:cs="Arial" w:hAnsi="Arial" w:eastAsia="Arial"/>
          <w:sz w:val="29"/>
          <w:szCs w:val="29"/>
        </w:rPr>
      </w:pPr>
    </w:p>
    <w:p>
      <w:pPr>
        <w:pStyle w:val="Corpo"/>
        <w:spacing w:before="39"/>
        <w:ind w:left="100" w:firstLine="0"/>
      </w:pPr>
      <w:r>
        <w:rPr>
          <w:rStyle w:val="Nenhum"/>
          <w:rFonts w:ascii="Minion Pro" w:cs="Minion Pro" w:hAnsi="Minion Pro" w:eastAsia="Minion Pro"/>
          <w:b w:val="1"/>
          <w:bCs w:val="1"/>
          <w:sz w:val="20"/>
          <w:szCs w:val="20"/>
          <w:rtl w:val="0"/>
          <w:lang w:val="en-US"/>
        </w:rPr>
        <w:t>Notes/Comments:</w:t>
      </w:r>
    </w:p>
    <w:sectPr>
      <w:type w:val="continuous"/>
      <w:pgSz w:w="11920" w:h="16840" w:orient="portrait"/>
      <w:pgMar w:top="45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amp;quot">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Corpo"/>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enhum"/>
                              <w:rFonts w:ascii="Myriad Pro" w:cs="Myriad Pro" w:hAnsi="Myriad Pro" w:eastAsia="Myriad Pro"/>
                              <w:color w:val="ffffff"/>
                              <w:u w:color="ffffff"/>
                            </w:rPr>
                          </w:pPr>
                          <w:r>
                            <w:rPr>
                              <w:rStyle w:val="Nenhum"/>
                              <w:rFonts w:ascii="Myriad Pro" w:cs="Myriad Pro" w:hAnsi="Myriad Pro" w:eastAsia="Myriad Pro"/>
                              <w:color w:val="ffffff"/>
                              <w:u w:color="ffffff"/>
                              <w:rtl w:val="0"/>
                              <w:lang w:val="en-US"/>
                            </w:rPr>
                            <w:t>International Conference on</w:t>
                          </w:r>
                        </w:p>
                        <w:p>
                          <w:pPr>
                            <w:pStyle w:val="Corpo"/>
                            <w:spacing w:line="614" w:lineRule="exact"/>
                            <w:ind w:left="20" w:firstLine="0"/>
                          </w:pPr>
                          <w:r>
                            <w:rPr>
                              <w:rStyle w:val="Nenhum"/>
                              <w:rFonts w:ascii="Impact" w:hAnsi="Impact"/>
                              <w:color w:val="ffffff"/>
                              <w:sz w:val="52"/>
                              <w:szCs w:val="52"/>
                              <w:u w:color="ffffff"/>
                              <w:rtl w:val="0"/>
                              <w:lang w:val="en-US"/>
                            </w:rPr>
                            <w:t xml:space="preserve">Fibromyalgia and Chronic Pain </w:t>
                          </w:r>
                          <w:r>
                            <w:rPr>
                              <w:rStyle w:val="Nenhum"/>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enhum"/>
                        <w:rFonts w:ascii="Myriad Pro" w:cs="Myriad Pro" w:hAnsi="Myriad Pro" w:eastAsia="Myriad Pro"/>
                        <w:color w:val="ffffff"/>
                        <w:u w:color="ffffff"/>
                      </w:rPr>
                    </w:pPr>
                    <w:r>
                      <w:rPr>
                        <w:rStyle w:val="Nenhum"/>
                        <w:rFonts w:ascii="Myriad Pro" w:cs="Myriad Pro" w:hAnsi="Myriad Pro" w:eastAsia="Myriad Pro"/>
                        <w:color w:val="ffffff"/>
                        <w:u w:color="ffffff"/>
                        <w:rtl w:val="0"/>
                        <w:lang w:val="en-US"/>
                      </w:rPr>
                      <w:t>International Conference on</w:t>
                    </w:r>
                  </w:p>
                  <w:p>
                    <w:pPr>
                      <w:pStyle w:val="Corpo"/>
                      <w:spacing w:line="614" w:lineRule="exact"/>
                      <w:ind w:left="20" w:firstLine="0"/>
                    </w:pPr>
                    <w:r>
                      <w:rPr>
                        <w:rStyle w:val="Nenhum"/>
                        <w:rFonts w:ascii="Impact" w:hAnsi="Impact"/>
                        <w:color w:val="ffffff"/>
                        <w:sz w:val="52"/>
                        <w:szCs w:val="52"/>
                        <w:u w:color="ffffff"/>
                        <w:rtl w:val="0"/>
                        <w:lang w:val="en-US"/>
                      </w:rPr>
                      <w:t xml:space="preserve">Fibromyalgia and Chronic Pain </w:t>
                    </w:r>
                    <w:r>
                      <w:rPr>
                        <w:rStyle w:val="Nenhum"/>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Corpo"/>
                            <w:spacing w:line="184" w:lineRule="exact"/>
                            <w:ind w:left="20" w:firstLine="0"/>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J Pain Relief</w:t>
                          </w:r>
                        </w:p>
                        <w:p>
                          <w:pPr>
                            <w:pStyle w:val="Corpo"/>
                            <w:spacing w:before="8"/>
                            <w:ind w:left="20" w:firstLine="0"/>
                          </w:pPr>
                          <w:r>
                            <w:rPr>
                              <w:rStyle w:val="Nenhum"/>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left="20" w:firstLine="0"/>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J Pain Relief</w:t>
                    </w:r>
                  </w:p>
                  <w:p>
                    <w:pPr>
                      <w:pStyle w:val="Corpo"/>
                      <w:spacing w:before="8"/>
                      <w:ind w:left="20" w:firstLine="0"/>
                    </w:pPr>
                    <w:r>
                      <w:rPr>
                        <w:rStyle w:val="Nenhum"/>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Corpo"/>
                            <w:spacing w:line="269" w:lineRule="exact"/>
                            <w:jc w:val="center"/>
                            <w:rPr>
                              <w:rStyle w:val="Nenhum"/>
                              <w:rFonts w:ascii="Impact" w:cs="Impact" w:hAnsi="Impact" w:eastAsia="Impact"/>
                              <w:color w:val="ffffff"/>
                              <w:sz w:val="24"/>
                              <w:szCs w:val="24"/>
                              <w:u w:color="ffffff"/>
                            </w:rPr>
                          </w:pPr>
                          <w:r>
                            <w:rPr>
                              <w:rStyle w:val="Nenhum"/>
                              <w:rFonts w:ascii="Impact" w:hAnsi="Impact"/>
                              <w:color w:val="ffffff"/>
                              <w:sz w:val="24"/>
                              <w:szCs w:val="24"/>
                              <w:u w:color="ffffff"/>
                              <w:rtl w:val="0"/>
                            </w:rPr>
                            <w:t>Fibromyalgia 2016</w:t>
                          </w:r>
                        </w:p>
                        <w:p>
                          <w:pPr>
                            <w:pStyle w:val="Corpo"/>
                            <w:spacing w:before="29"/>
                            <w:jc w:val="center"/>
                          </w:pPr>
                          <w:r>
                            <w:rPr>
                              <w:rStyle w:val="Nenhum"/>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69" w:lineRule="exact"/>
                      <w:jc w:val="center"/>
                      <w:rPr>
                        <w:rStyle w:val="Nenhum"/>
                        <w:rFonts w:ascii="Impact" w:cs="Impact" w:hAnsi="Impact" w:eastAsia="Impact"/>
                        <w:color w:val="ffffff"/>
                        <w:sz w:val="24"/>
                        <w:szCs w:val="24"/>
                        <w:u w:color="ffffff"/>
                      </w:rPr>
                    </w:pPr>
                    <w:r>
                      <w:rPr>
                        <w:rStyle w:val="Nenhum"/>
                        <w:rFonts w:ascii="Impact" w:hAnsi="Impact"/>
                        <w:color w:val="ffffff"/>
                        <w:sz w:val="24"/>
                        <w:szCs w:val="24"/>
                        <w:u w:color="ffffff"/>
                        <w:rtl w:val="0"/>
                      </w:rPr>
                      <w:t>Fibromyalgia 2016</w:t>
                    </w:r>
                  </w:p>
                  <w:p>
                    <w:pPr>
                      <w:pStyle w:val="Corpo"/>
                      <w:spacing w:before="29"/>
                      <w:jc w:val="center"/>
                    </w:pPr>
                    <w:r>
                      <w:rPr>
                        <w:rStyle w:val="Nenhum"/>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Corpo"/>
                            <w:spacing w:line="184" w:lineRule="exact"/>
                            <w:ind w:right="18"/>
                            <w:jc w:val="right"/>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Volume 5, Issue 3(Suppl)</w:t>
                          </w:r>
                        </w:p>
                        <w:p>
                          <w:pPr>
                            <w:pStyle w:val="Corpo"/>
                            <w:spacing w:before="116"/>
                            <w:ind w:right="18"/>
                            <w:jc w:val="right"/>
                          </w:pPr>
                          <w:r>
                            <w:rPr>
                              <w:rStyle w:val="Nenhum"/>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right="18"/>
                      <w:jc w:val="right"/>
                      <w:rPr>
                        <w:rStyle w:val="Nenhum"/>
                        <w:rFonts w:ascii="Arial" w:cs="Arial" w:hAnsi="Arial" w:eastAsia="Arial"/>
                        <w:color w:val="ffffff"/>
                        <w:sz w:val="16"/>
                        <w:szCs w:val="16"/>
                        <w:u w:color="ffffff"/>
                      </w:rPr>
                    </w:pPr>
                    <w:r>
                      <w:rPr>
                        <w:rStyle w:val="Nenhum"/>
                        <w:rFonts w:ascii="Arial" w:hAnsi="Arial"/>
                        <w:color w:val="ffffff"/>
                        <w:sz w:val="16"/>
                        <w:szCs w:val="16"/>
                        <w:u w:color="ffffff"/>
                        <w:rtl w:val="0"/>
                        <w:lang w:val="en-US"/>
                      </w:rPr>
                      <w:t>Volume 5, Issue 3(Suppl)</w:t>
                    </w:r>
                  </w:p>
                  <w:p>
                    <w:pPr>
                      <w:pStyle w:val="Corpo"/>
                      <w:spacing w:before="116"/>
                      <w:ind w:right="18"/>
                      <w:jc w:val="right"/>
                    </w:pPr>
                    <w:r>
                      <w:rPr>
                        <w:rStyle w:val="Nenhum"/>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Corpo">
    <w:name w:val="Corpo"/>
    <w:next w:val="Corpo"/>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enhum">
    <w:name w:val="Nenhum"/>
  </w:style>
  <w:style w:type="character" w:styleId="Hyperlink.0">
    <w:name w:val="Hyperlink.0"/>
    <w:basedOn w:val="Nenhum"/>
    <w:next w:val="Hyperlink.0"/>
    <w:rPr>
      <w:rFonts w:ascii="Arial" w:cs="Arial" w:hAnsi="Arial" w:eastAsia="Arial"/>
      <w:color w:val="ffffff"/>
      <w:sz w:val="14"/>
      <w:szCs w:val="14"/>
      <w:u w:color="ffffff"/>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Link">
    <w:name w:val="Link"/>
    <w:rPr>
      <w:color w:val="0000ff"/>
      <w:u w:val="single" w:color="0000ff"/>
    </w:rPr>
  </w:style>
  <w:style w:type="character" w:styleId="Hyperlink.1">
    <w:name w:val="Hyperlink.1"/>
    <w:basedOn w:val="Link"/>
    <w:next w:val="Hyperlink.1"/>
    <w:rPr>
      <w:sz w:val="18"/>
      <w:szCs w:val="18"/>
    </w:rPr>
  </w:style>
  <w:style w:type="paragraph" w:styleId="EndNote Bibliography">
    <w:name w:val="EndNote Bibliography"/>
    <w:next w:val="EndNote Bibliograph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Tw Cen MT" w:hAnsi="Tw Cen MT" w:eastAsia="Tw Cen MT"/>
      <w:b w:val="0"/>
      <w:bCs w:val="0"/>
      <w:i w:val="0"/>
      <w:iCs w:val="0"/>
      <w:caps w:val="0"/>
      <w:smallCaps w:val="0"/>
      <w:strike w:val="0"/>
      <w:dstrike w:val="0"/>
      <w:outline w:val="0"/>
      <w:color w:val="000000"/>
      <w:spacing w:val="0"/>
      <w:kern w:val="0"/>
      <w:position w:val="0"/>
      <w:sz w:val="18"/>
      <w:szCs w:val="18"/>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1.jpeg"/><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