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eastAsia="华文中宋" w:cs="Times New Roman"/>
          <w:b/>
          <w:sz w:val="32"/>
          <w:szCs w:val="32"/>
        </w:rPr>
      </w:pPr>
      <w:r>
        <w:rPr>
          <w:rFonts w:hint="default" w:ascii="Times New Roman" w:hAnsi="Times New Roman" w:eastAsia="华文中宋" w:cs="Times New Roman"/>
          <w:b/>
          <w:sz w:val="32"/>
          <w:szCs w:val="32"/>
        </w:rPr>
        <w:t>HIF‑1α promotes the stemness of oesophageal</w:t>
      </w:r>
      <w:r>
        <w:rPr>
          <w:rFonts w:hint="eastAsia" w:ascii="Times New Roman" w:hAnsi="Times New Roman" w:eastAsia="华文中宋" w:cs="Times New Roman"/>
          <w:b/>
          <w:sz w:val="32"/>
          <w:szCs w:val="32"/>
          <w:lang w:val="en-US" w:eastAsia="zh-CN"/>
        </w:rPr>
        <w:t xml:space="preserve"> </w:t>
      </w:r>
      <w:r>
        <w:rPr>
          <w:rFonts w:hint="default" w:ascii="Times New Roman" w:hAnsi="Times New Roman" w:eastAsia="华文中宋" w:cs="Times New Roman"/>
          <w:b/>
          <w:sz w:val="32"/>
          <w:szCs w:val="32"/>
        </w:rPr>
        <w:t>squamous cell carcinoma by activating the</w:t>
      </w:r>
      <w:r>
        <w:rPr>
          <w:rFonts w:hint="eastAsia" w:ascii="Times New Roman" w:hAnsi="Times New Roman" w:eastAsia="华文中宋" w:cs="Times New Roman"/>
          <w:b/>
          <w:sz w:val="32"/>
          <w:szCs w:val="32"/>
          <w:lang w:val="en-US" w:eastAsia="zh-CN"/>
        </w:rPr>
        <w:t xml:space="preserve"> </w:t>
      </w:r>
      <w:r>
        <w:rPr>
          <w:rFonts w:hint="default" w:ascii="Times New Roman" w:hAnsi="Times New Roman" w:eastAsia="华文中宋" w:cs="Times New Roman"/>
          <w:b/>
          <w:sz w:val="32"/>
          <w:szCs w:val="32"/>
        </w:rPr>
        <w:t>Wnt/β‑catenin pathway</w:t>
      </w:r>
    </w:p>
    <w:p>
      <w:pPr>
        <w:jc w:val="left"/>
        <w:rPr>
          <w:rFonts w:hint="default"/>
          <w:sz w:val="22"/>
          <w:szCs w:val="28"/>
          <w:lang w:val="en-US" w:eastAsia="zh-CN"/>
        </w:rPr>
      </w:pPr>
      <w:r>
        <w:rPr>
          <w:sz w:val="22"/>
          <w:szCs w:val="28"/>
        </w:rPr>
        <w:t>ZHUAN LV</w:t>
      </w:r>
      <w:r>
        <w:rPr>
          <w:rFonts w:hint="eastAsia"/>
          <w:sz w:val="22"/>
          <w:szCs w:val="28"/>
          <w:lang w:eastAsia="zh-CN"/>
        </w:rPr>
        <w:t>，</w:t>
      </w:r>
      <w:r>
        <w:rPr>
          <w:sz w:val="22"/>
          <w:szCs w:val="28"/>
        </w:rPr>
        <w:t>Departments</w:t>
      </w:r>
      <w:r>
        <w:rPr>
          <w:spacing w:val="-9"/>
          <w:sz w:val="22"/>
          <w:szCs w:val="28"/>
        </w:rPr>
        <w:t xml:space="preserve"> </w:t>
      </w:r>
      <w:r>
        <w:rPr>
          <w:sz w:val="22"/>
          <w:szCs w:val="28"/>
        </w:rPr>
        <w:t>of</w:t>
      </w:r>
      <w:r>
        <w:rPr>
          <w:spacing w:val="-7"/>
          <w:sz w:val="22"/>
          <w:szCs w:val="28"/>
        </w:rPr>
        <w:t xml:space="preserve"> </w:t>
      </w:r>
      <w:r>
        <w:rPr>
          <w:sz w:val="22"/>
          <w:szCs w:val="28"/>
          <w:vertAlign w:val="superscript"/>
        </w:rPr>
        <w:t>1</w:t>
      </w:r>
      <w:r>
        <w:rPr>
          <w:sz w:val="22"/>
          <w:szCs w:val="28"/>
          <w:vertAlign w:val="baseline"/>
        </w:rPr>
        <w:t>Hospital</w:t>
      </w:r>
      <w:r>
        <w:rPr>
          <w:spacing w:val="-17"/>
          <w:sz w:val="22"/>
          <w:szCs w:val="28"/>
          <w:vertAlign w:val="baseline"/>
        </w:rPr>
        <w:t xml:space="preserve"> </w:t>
      </w:r>
      <w:r>
        <w:rPr>
          <w:sz w:val="22"/>
          <w:szCs w:val="28"/>
          <w:vertAlign w:val="baseline"/>
        </w:rPr>
        <w:t>Administration</w:t>
      </w:r>
      <w:r>
        <w:rPr>
          <w:rFonts w:hint="eastAsia"/>
          <w:sz w:val="22"/>
          <w:szCs w:val="28"/>
          <w:vertAlign w:val="baseline"/>
          <w:lang w:eastAsia="zh-CN"/>
        </w:rPr>
        <w:t>，</w:t>
      </w:r>
      <w:r>
        <w:rPr>
          <w:sz w:val="22"/>
          <w:szCs w:val="28"/>
          <w:vertAlign w:val="baseline"/>
        </w:rPr>
        <w:t>The First Affiliated Hospital of Henan University of Traditional Chinese Medicine</w:t>
      </w:r>
      <w:r>
        <w:rPr>
          <w:rFonts w:hint="eastAsia"/>
          <w:sz w:val="22"/>
          <w:szCs w:val="28"/>
          <w:vertAlign w:val="baseline"/>
          <w:lang w:val="en-US" w:eastAsia="zh-CN"/>
        </w:rPr>
        <w:t>;</w:t>
      </w:r>
      <w:r>
        <w:rPr>
          <w:rFonts w:hint="eastAsia"/>
          <w:sz w:val="22"/>
          <w:szCs w:val="28"/>
          <w:lang w:val="en-US" w:eastAsia="zh-CN"/>
        </w:rPr>
        <w:t>China.</w:t>
      </w:r>
    </w:p>
    <w:p>
      <w:pPr>
        <w:jc w:val="left"/>
        <w:rPr>
          <w:rFonts w:hint="default"/>
          <w:sz w:val="22"/>
          <w:szCs w:val="28"/>
          <w:lang w:val="en-US" w:eastAsia="zh-CN"/>
        </w:rPr>
      </w:pPr>
      <w:r>
        <w:rPr>
          <w:sz w:val="22"/>
          <w:szCs w:val="28"/>
          <w:vertAlign w:val="baseline"/>
        </w:rPr>
        <w:t>XIAO-QI CHEN</w:t>
      </w:r>
      <w:r>
        <w:rPr>
          <w:rFonts w:hint="eastAsia"/>
          <w:sz w:val="22"/>
          <w:szCs w:val="28"/>
          <w:vertAlign w:val="baseline"/>
          <w:lang w:eastAsia="zh-CN"/>
        </w:rPr>
        <w:t>，</w:t>
      </w:r>
      <w:r>
        <w:rPr>
          <w:sz w:val="22"/>
          <w:szCs w:val="28"/>
        </w:rPr>
        <w:t>Departments</w:t>
      </w:r>
      <w:r>
        <w:rPr>
          <w:spacing w:val="-9"/>
          <w:sz w:val="22"/>
          <w:szCs w:val="28"/>
        </w:rPr>
        <w:t xml:space="preserve"> </w:t>
      </w:r>
      <w:r>
        <w:rPr>
          <w:sz w:val="22"/>
          <w:szCs w:val="28"/>
        </w:rPr>
        <w:t>of</w:t>
      </w:r>
      <w:r>
        <w:rPr>
          <w:rFonts w:hint="eastAsia"/>
          <w:sz w:val="22"/>
          <w:szCs w:val="28"/>
          <w:lang w:val="en-US" w:eastAsia="zh-CN"/>
        </w:rPr>
        <w:t xml:space="preserve"> </w:t>
      </w:r>
      <w:r>
        <w:rPr>
          <w:sz w:val="22"/>
          <w:szCs w:val="28"/>
          <w:vertAlign w:val="baseline"/>
        </w:rPr>
        <w:t>Gastroenterology</w:t>
      </w:r>
      <w:r>
        <w:rPr>
          <w:spacing w:val="-8"/>
          <w:sz w:val="22"/>
          <w:szCs w:val="28"/>
          <w:vertAlign w:val="baseline"/>
        </w:rPr>
        <w:t xml:space="preserve"> </w:t>
      </w:r>
      <w:r>
        <w:rPr>
          <w:spacing w:val="-3"/>
          <w:sz w:val="22"/>
          <w:szCs w:val="28"/>
          <w:vertAlign w:val="baseline"/>
        </w:rPr>
        <w:t xml:space="preserve">, </w:t>
      </w:r>
      <w:r>
        <w:rPr>
          <w:sz w:val="22"/>
          <w:szCs w:val="28"/>
          <w:vertAlign w:val="baseline"/>
        </w:rPr>
        <w:t>The First Affiliated Hospital of Henan University of Traditional Chinese Medicine;</w:t>
      </w:r>
      <w:r>
        <w:rPr>
          <w:rFonts w:hint="eastAsia"/>
          <w:sz w:val="22"/>
          <w:szCs w:val="28"/>
          <w:lang w:val="en-US" w:eastAsia="zh-CN"/>
        </w:rPr>
        <w:t>China.</w:t>
      </w:r>
    </w:p>
    <w:p>
      <w:pPr>
        <w:jc w:val="left"/>
        <w:rPr>
          <w:rFonts w:hint="eastAsia" w:eastAsiaTheme="minorEastAsia"/>
          <w:lang w:eastAsia="zh-CN"/>
        </w:rPr>
      </w:pPr>
    </w:p>
    <w:p>
      <w:pPr>
        <w:jc w:val="left"/>
        <w:rPr>
          <w:rFonts w:hint="default"/>
          <w:sz w:val="22"/>
          <w:szCs w:val="28"/>
          <w:vertAlign w:val="baseline"/>
          <w:lang w:eastAsia="zh-CN"/>
        </w:rPr>
      </w:pPr>
    </w:p>
    <w:p>
      <w:pPr>
        <w:jc w:val="left"/>
        <w:rPr>
          <w:rFonts w:hint="default"/>
          <w:sz w:val="24"/>
          <w:szCs w:val="32"/>
          <w:vertAlign w:val="baseline"/>
        </w:rPr>
        <w:sectPr>
          <w:pgSz w:w="11906" w:h="16838"/>
          <w:pgMar w:top="1440" w:right="1800" w:bottom="1440" w:left="1800" w:header="851" w:footer="992" w:gutter="0"/>
          <w:cols w:space="425" w:num="1"/>
          <w:docGrid w:type="lines" w:linePitch="312" w:charSpace="0"/>
        </w:sectPr>
      </w:pPr>
    </w:p>
    <w:p>
      <w:pPr>
        <w:jc w:val="left"/>
        <w:rPr>
          <w:rFonts w:hint="default"/>
          <w:color w:val="auto"/>
          <w:sz w:val="21"/>
          <w:szCs w:val="21"/>
          <w:highlight w:val="none"/>
        </w:rPr>
      </w:pPr>
      <w:r>
        <w:rPr>
          <w:b/>
          <w:bCs/>
          <w:color w:val="BF5A14"/>
          <w:sz w:val="21"/>
          <w:szCs w:val="21"/>
        </w:rPr>
        <w:t>Abstract</w:t>
      </w:r>
      <w:r>
        <w:rPr>
          <w:rFonts w:hint="eastAsia"/>
          <w:b/>
          <w:bCs/>
          <w:color w:val="ED7D31" w:themeColor="accent2"/>
          <w:sz w:val="21"/>
          <w:szCs w:val="21"/>
          <w:lang w:eastAsia="zh-CN"/>
          <w14:textFill>
            <w14:solidFill>
              <w14:schemeClr w14:val="accent2"/>
            </w14:solidFill>
          </w14:textFill>
        </w:rPr>
        <w:t>：</w:t>
      </w:r>
      <w:r>
        <w:rPr>
          <w:rFonts w:hint="default"/>
          <w:color w:val="auto"/>
          <w:sz w:val="21"/>
          <w:szCs w:val="21"/>
          <w:highlight w:val="none"/>
        </w:rPr>
        <w:t>Hypoxia-inducible-factor 1α (HIF-1α) is a marker</w:t>
      </w:r>
      <w:r>
        <w:rPr>
          <w:rFonts w:hint="default"/>
          <w:color w:val="auto"/>
          <w:sz w:val="21"/>
          <w:szCs w:val="21"/>
          <w:highlight w:val="none"/>
          <w:lang w:val="en-US" w:eastAsia="zh-CN"/>
        </w:rPr>
        <w:t xml:space="preserve"> </w:t>
      </w:r>
      <w:r>
        <w:rPr>
          <w:rFonts w:hint="default"/>
          <w:color w:val="auto"/>
          <w:sz w:val="21"/>
          <w:szCs w:val="21"/>
          <w:highlight w:val="none"/>
        </w:rPr>
        <w:t>for poor prognosis in the majority of the cancer types, and</w:t>
      </w:r>
      <w:r>
        <w:rPr>
          <w:rFonts w:hint="default"/>
          <w:color w:val="auto"/>
          <w:sz w:val="21"/>
          <w:szCs w:val="21"/>
          <w:highlight w:val="none"/>
          <w:lang w:val="en-US" w:eastAsia="zh-CN"/>
        </w:rPr>
        <w:t xml:space="preserve"> </w:t>
      </w:r>
      <w:r>
        <w:rPr>
          <w:rFonts w:hint="default"/>
          <w:color w:val="auto"/>
          <w:sz w:val="21"/>
          <w:szCs w:val="21"/>
          <w:highlight w:val="none"/>
        </w:rPr>
        <w:t>it has been revealed to be essential for maintaining cancer stem cells (CSCs). In the present study, it was determined that the expression of HIF-1α and CSC-related genes under hypoxic conditions was upregulated. Stable knockdown</w:t>
      </w:r>
      <w:r>
        <w:rPr>
          <w:rFonts w:hint="default"/>
          <w:color w:val="auto"/>
          <w:sz w:val="21"/>
          <w:szCs w:val="21"/>
          <w:highlight w:val="none"/>
          <w:lang w:val="en-US" w:eastAsia="zh-CN"/>
        </w:rPr>
        <w:t xml:space="preserve"> </w:t>
      </w:r>
      <w:r>
        <w:rPr>
          <w:rFonts w:hint="default"/>
          <w:color w:val="auto"/>
          <w:sz w:val="21"/>
          <w:szCs w:val="21"/>
          <w:highlight w:val="none"/>
        </w:rPr>
        <w:t>of HIF-1α significantly inhibited cell proliferation, migra- tion and tumour growth in vivo in oesophageal squamous cell carcinoma (ESCC). A previous study revealed that the Wnt/β-catenin pathway may play a key role in maintenance and progression of CSCs. Therefore, it was also revealed that stable knockdown of HIF-1α reduced the formation of spheroid body cells, the expression of CSC-related genes and Wnt/β-catenin pathway-related target genes, as well as the activity of the Wnt/β-catenin pathway. Collectively, the present results indicated that HIF-1α may regulate the stemness of ESCC by activating the Wnt/β-catenin pathway.</w:t>
      </w:r>
    </w:p>
    <w:p>
      <w:pPr>
        <w:jc w:val="left"/>
        <w:rPr>
          <w:rFonts w:hint="eastAsia"/>
          <w:color w:val="BF5A14"/>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jc w:val="left"/>
        <w:rPr>
          <w:rFonts w:hint="eastAsia"/>
          <w:sz w:val="24"/>
          <w:szCs w:val="32"/>
          <w:vertAlign w:val="baseline"/>
          <w:lang w:eastAsia="zh-CN"/>
        </w:rPr>
      </w:pPr>
    </w:p>
    <w:p>
      <w:pPr>
        <w:pStyle w:val="2"/>
        <w:spacing w:before="74"/>
        <w:rPr>
          <w:rFonts w:hint="eastAsia" w:eastAsia="宋体"/>
          <w:b/>
          <w:bCs/>
          <w:color w:val="BF5A14"/>
          <w:lang w:eastAsia="zh-CN"/>
        </w:rPr>
      </w:pPr>
      <w:r>
        <w:rPr>
          <w:rFonts w:hint="eastAsia" w:eastAsia="宋体"/>
          <w:b/>
          <w:bCs/>
          <w:color w:val="BF5A14"/>
          <w:lang w:val="en-US" w:eastAsia="zh-CN"/>
        </w:rPr>
        <w:t>Image</w:t>
      </w:r>
      <w:r>
        <w:rPr>
          <w:rFonts w:hint="eastAsia" w:eastAsia="宋体"/>
          <w:b/>
          <w:bCs/>
          <w:color w:val="BF5A14"/>
          <w:lang w:eastAsia="zh-CN"/>
        </w:rPr>
        <w:t>：</w:t>
      </w:r>
    </w:p>
    <w:p>
      <w:pPr>
        <w:pStyle w:val="2"/>
        <w:spacing w:before="74"/>
      </w:pPr>
      <w:r>
        <w:drawing>
          <wp:inline distT="0" distB="0" distL="0" distR="0">
            <wp:extent cx="2904490" cy="2656840"/>
            <wp:effectExtent l="0" t="0" r="10160" b="1016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4" cstate="print"/>
                    <a:stretch>
                      <a:fillRect/>
                    </a:stretch>
                  </pic:blipFill>
                  <pic:spPr>
                    <a:xfrm>
                      <a:off x="0" y="0"/>
                      <a:ext cx="2904490" cy="2656840"/>
                    </a:xfrm>
                    <a:prstGeom prst="rect">
                      <a:avLst/>
                    </a:prstGeom>
                  </pic:spPr>
                </pic:pic>
              </a:graphicData>
            </a:graphic>
          </wp:inline>
        </w:drawing>
      </w:r>
    </w:p>
    <w:p>
      <w:pPr>
        <w:spacing w:before="71" w:line="247" w:lineRule="auto"/>
        <w:ind w:left="110" w:right="108" w:firstLine="0"/>
        <w:jc w:val="both"/>
        <w:rPr>
          <w:sz w:val="16"/>
        </w:rPr>
      </w:pPr>
      <w:r>
        <w:rPr>
          <w:b/>
          <w:bCs/>
          <w:sz w:val="16"/>
        </w:rPr>
        <w:t>Figure 1</w:t>
      </w:r>
      <w:r>
        <w:rPr>
          <w:sz w:val="16"/>
        </w:rPr>
        <w:t>. HIF-1</w:t>
      </w:r>
      <w:r>
        <w:rPr>
          <w:sz w:val="15"/>
        </w:rPr>
        <w:t xml:space="preserve">α </w:t>
      </w:r>
      <w:r>
        <w:rPr>
          <w:sz w:val="16"/>
        </w:rPr>
        <w:t>and CSC-related genes are upregulated</w:t>
      </w:r>
    </w:p>
    <w:p>
      <w:pPr>
        <w:spacing w:before="71" w:line="247" w:lineRule="auto"/>
        <w:ind w:left="110" w:right="108" w:firstLine="0"/>
        <w:jc w:val="both"/>
        <w:rPr>
          <w:sz w:val="16"/>
        </w:rPr>
      </w:pPr>
      <w:r>
        <w:rPr>
          <w:sz w:val="16"/>
        </w:rPr>
        <w:t>in ESCC in hypoxic conditions. (A) mRNA and protein levels of HIF-1</w:t>
      </w:r>
      <w:r>
        <w:rPr>
          <w:sz w:val="15"/>
        </w:rPr>
        <w:t xml:space="preserve">α </w:t>
      </w:r>
      <w:r>
        <w:rPr>
          <w:sz w:val="16"/>
        </w:rPr>
        <w:t>in four ESCC cell lines (KYSE70, KYSE450, Eca109 and Eca9706). (B) The protein expression of HIF-1</w:t>
      </w:r>
      <w:r>
        <w:rPr>
          <w:sz w:val="15"/>
        </w:rPr>
        <w:t xml:space="preserve">α </w:t>
      </w:r>
      <w:r>
        <w:rPr>
          <w:sz w:val="16"/>
        </w:rPr>
        <w:t>in hypoxic conditions (CoCl</w:t>
      </w:r>
      <w:r>
        <w:rPr>
          <w:position w:val="-2"/>
          <w:sz w:val="9"/>
        </w:rPr>
        <w:t xml:space="preserve">2 </w:t>
      </w:r>
      <w:r>
        <w:rPr>
          <w:sz w:val="16"/>
        </w:rPr>
        <w:t>treatment) was higher than in normoxic conditions in ESCC cell line KYSE450. (C) The protein level of HIF-1</w:t>
      </w:r>
      <w:r>
        <w:rPr>
          <w:sz w:val="15"/>
        </w:rPr>
        <w:t xml:space="preserve">α </w:t>
      </w:r>
      <w:r>
        <w:rPr>
          <w:sz w:val="16"/>
        </w:rPr>
        <w:t>was elevated in ESCC tissues, compared with normal esophageal squamous epithelial tissues. (D) qRT-PCR and western blot analysis revealed that the mRNA and protein expression levels of the CSC-related genes Lgr5, ALDH1A1, NANOG, SOX2 and p75NTR in KYSE450 cells was increased under hypoxic conditions, compared with in normoxic conditions (</w:t>
      </w:r>
      <w:r>
        <w:rPr>
          <w:position w:val="6"/>
          <w:sz w:val="9"/>
        </w:rPr>
        <w:t>*</w:t>
      </w:r>
      <w:r>
        <w:rPr>
          <w:sz w:val="16"/>
        </w:rPr>
        <w:t xml:space="preserve">P&lt;0.05 and </w:t>
      </w:r>
      <w:r>
        <w:rPr>
          <w:position w:val="6"/>
          <w:sz w:val="9"/>
        </w:rPr>
        <w:t>**</w:t>
      </w:r>
      <w:r>
        <w:rPr>
          <w:sz w:val="16"/>
        </w:rPr>
        <w:t>P&lt;0.01). HIF-1</w:t>
      </w:r>
      <w:r>
        <w:rPr>
          <w:sz w:val="15"/>
        </w:rPr>
        <w:t>α</w:t>
      </w:r>
      <w:r>
        <w:rPr>
          <w:sz w:val="16"/>
        </w:rPr>
        <w:t>, hypoxia‑inducible factor 1; CSC, cancer stem cell; ESCC, oesophageal squamous cell carcinoma.</w:t>
      </w:r>
    </w:p>
    <w:p>
      <w:pPr>
        <w:spacing w:before="71" w:line="247" w:lineRule="auto"/>
        <w:ind w:left="110" w:right="108" w:firstLine="0"/>
        <w:jc w:val="both"/>
        <w:rPr>
          <w:sz w:val="16"/>
        </w:rPr>
      </w:pPr>
      <w:r>
        <w:drawing>
          <wp:inline distT="0" distB="0" distL="0" distR="0">
            <wp:extent cx="2374265" cy="1840865"/>
            <wp:effectExtent l="0" t="0" r="6985" b="698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5" cstate="print"/>
                    <a:stretch>
                      <a:fillRect/>
                    </a:stretch>
                  </pic:blipFill>
                  <pic:spPr>
                    <a:xfrm>
                      <a:off x="0" y="0"/>
                      <a:ext cx="2374488" cy="1840991"/>
                    </a:xfrm>
                    <a:prstGeom prst="rect">
                      <a:avLst/>
                    </a:prstGeom>
                  </pic:spPr>
                </pic:pic>
              </a:graphicData>
            </a:graphic>
          </wp:inline>
        </w:drawing>
      </w:r>
    </w:p>
    <w:p>
      <w:pPr>
        <w:spacing w:before="0" w:line="249" w:lineRule="auto"/>
        <w:ind w:right="38"/>
        <w:jc w:val="both"/>
        <w:rPr>
          <w:sz w:val="16"/>
        </w:rPr>
      </w:pPr>
      <w:r>
        <w:rPr>
          <w:b/>
          <w:bCs/>
          <w:sz w:val="16"/>
        </w:rPr>
        <w:t>Figure</w:t>
      </w:r>
      <w:r>
        <w:rPr>
          <w:b/>
          <w:bCs/>
          <w:spacing w:val="-20"/>
          <w:sz w:val="16"/>
        </w:rPr>
        <w:t xml:space="preserve"> </w:t>
      </w:r>
      <w:r>
        <w:rPr>
          <w:b/>
          <w:bCs/>
          <w:sz w:val="16"/>
        </w:rPr>
        <w:t>2</w:t>
      </w:r>
      <w:r>
        <w:rPr>
          <w:sz w:val="16"/>
        </w:rPr>
        <w:t>.</w:t>
      </w:r>
      <w:r>
        <w:rPr>
          <w:spacing w:val="-19"/>
          <w:sz w:val="16"/>
        </w:rPr>
        <w:t xml:space="preserve"> </w:t>
      </w:r>
      <w:r>
        <w:rPr>
          <w:sz w:val="16"/>
        </w:rPr>
        <w:t>Stable</w:t>
      </w:r>
      <w:r>
        <w:rPr>
          <w:spacing w:val="-20"/>
          <w:sz w:val="16"/>
        </w:rPr>
        <w:t xml:space="preserve"> </w:t>
      </w:r>
      <w:r>
        <w:rPr>
          <w:sz w:val="16"/>
        </w:rPr>
        <w:t>knockdown</w:t>
      </w:r>
      <w:r>
        <w:rPr>
          <w:spacing w:val="-19"/>
          <w:sz w:val="16"/>
        </w:rPr>
        <w:t xml:space="preserve"> </w:t>
      </w:r>
      <w:r>
        <w:rPr>
          <w:sz w:val="16"/>
        </w:rPr>
        <w:t>of</w:t>
      </w:r>
      <w:r>
        <w:rPr>
          <w:spacing w:val="-20"/>
          <w:sz w:val="16"/>
        </w:rPr>
        <w:t xml:space="preserve"> </w:t>
      </w:r>
      <w:r>
        <w:rPr>
          <w:spacing w:val="-3"/>
          <w:sz w:val="16"/>
        </w:rPr>
        <w:t>HIF-1</w:t>
      </w:r>
      <w:r>
        <w:rPr>
          <w:spacing w:val="-3"/>
          <w:sz w:val="15"/>
        </w:rPr>
        <w:t>α</w:t>
      </w:r>
      <w:r>
        <w:rPr>
          <w:spacing w:val="-16"/>
          <w:sz w:val="15"/>
        </w:rPr>
        <w:t xml:space="preserve"> </w:t>
      </w:r>
      <w:r>
        <w:rPr>
          <w:sz w:val="16"/>
        </w:rPr>
        <w:t>decreases</w:t>
      </w:r>
      <w:r>
        <w:rPr>
          <w:spacing w:val="-19"/>
          <w:sz w:val="16"/>
        </w:rPr>
        <w:t xml:space="preserve"> </w:t>
      </w:r>
      <w:r>
        <w:rPr>
          <w:sz w:val="16"/>
        </w:rPr>
        <w:t>ESCC</w:t>
      </w:r>
      <w:r>
        <w:rPr>
          <w:spacing w:val="-20"/>
          <w:sz w:val="16"/>
        </w:rPr>
        <w:t xml:space="preserve"> </w:t>
      </w:r>
      <w:r>
        <w:rPr>
          <w:sz w:val="16"/>
        </w:rPr>
        <w:t>cell</w:t>
      </w:r>
      <w:r>
        <w:rPr>
          <w:spacing w:val="-19"/>
          <w:sz w:val="16"/>
        </w:rPr>
        <w:t xml:space="preserve"> </w:t>
      </w:r>
      <w:r>
        <w:rPr>
          <w:sz w:val="16"/>
        </w:rPr>
        <w:t>proliferation.</w:t>
      </w:r>
      <w:r>
        <w:rPr>
          <w:spacing w:val="-20"/>
          <w:sz w:val="16"/>
        </w:rPr>
        <w:t xml:space="preserve"> </w:t>
      </w:r>
      <w:r>
        <w:rPr>
          <w:sz w:val="16"/>
        </w:rPr>
        <w:t>A</w:t>
      </w:r>
      <w:r>
        <w:rPr>
          <w:spacing w:val="-19"/>
          <w:sz w:val="16"/>
        </w:rPr>
        <w:t xml:space="preserve"> </w:t>
      </w:r>
      <w:r>
        <w:rPr>
          <w:sz w:val="16"/>
        </w:rPr>
        <w:t>cell proliferation</w:t>
      </w:r>
      <w:r>
        <w:rPr>
          <w:spacing w:val="-22"/>
          <w:sz w:val="16"/>
        </w:rPr>
        <w:t xml:space="preserve"> </w:t>
      </w:r>
      <w:r>
        <w:rPr>
          <w:sz w:val="16"/>
        </w:rPr>
        <w:t>assay</w:t>
      </w:r>
      <w:r>
        <w:rPr>
          <w:spacing w:val="-21"/>
          <w:sz w:val="16"/>
        </w:rPr>
        <w:t xml:space="preserve"> </w:t>
      </w:r>
      <w:r>
        <w:rPr>
          <w:sz w:val="16"/>
        </w:rPr>
        <w:t>revealed</w:t>
      </w:r>
      <w:r>
        <w:rPr>
          <w:spacing w:val="-21"/>
          <w:sz w:val="16"/>
        </w:rPr>
        <w:t xml:space="preserve"> </w:t>
      </w:r>
      <w:r>
        <w:rPr>
          <w:sz w:val="16"/>
        </w:rPr>
        <w:t>that</w:t>
      </w:r>
      <w:r>
        <w:rPr>
          <w:spacing w:val="-21"/>
          <w:sz w:val="16"/>
        </w:rPr>
        <w:t xml:space="preserve"> </w:t>
      </w:r>
      <w:r>
        <w:rPr>
          <w:sz w:val="16"/>
        </w:rPr>
        <w:t>the</w:t>
      </w:r>
      <w:r>
        <w:rPr>
          <w:spacing w:val="-21"/>
          <w:sz w:val="16"/>
        </w:rPr>
        <w:t xml:space="preserve"> </w:t>
      </w:r>
      <w:r>
        <w:rPr>
          <w:sz w:val="16"/>
        </w:rPr>
        <w:t>proliferation</w:t>
      </w:r>
      <w:r>
        <w:rPr>
          <w:spacing w:val="-22"/>
          <w:sz w:val="16"/>
        </w:rPr>
        <w:t xml:space="preserve"> </w:t>
      </w:r>
      <w:r>
        <w:rPr>
          <w:sz w:val="16"/>
        </w:rPr>
        <w:t>rate</w:t>
      </w:r>
      <w:r>
        <w:rPr>
          <w:spacing w:val="-21"/>
          <w:sz w:val="16"/>
        </w:rPr>
        <w:t xml:space="preserve"> </w:t>
      </w:r>
      <w:r>
        <w:rPr>
          <w:sz w:val="16"/>
        </w:rPr>
        <w:t>of</w:t>
      </w:r>
      <w:r>
        <w:rPr>
          <w:spacing w:val="-21"/>
          <w:sz w:val="16"/>
        </w:rPr>
        <w:t xml:space="preserve"> </w:t>
      </w:r>
      <w:r>
        <w:rPr>
          <w:sz w:val="16"/>
        </w:rPr>
        <w:t>the</w:t>
      </w:r>
      <w:r>
        <w:rPr>
          <w:spacing w:val="-21"/>
          <w:sz w:val="16"/>
        </w:rPr>
        <w:t xml:space="preserve"> </w:t>
      </w:r>
      <w:r>
        <w:rPr>
          <w:sz w:val="16"/>
        </w:rPr>
        <w:t>HIF-1</w:t>
      </w:r>
      <w:r>
        <w:rPr>
          <w:sz w:val="15"/>
        </w:rPr>
        <w:t>α</w:t>
      </w:r>
      <w:r>
        <w:rPr>
          <w:sz w:val="16"/>
        </w:rPr>
        <w:t>-knockdown cell</w:t>
      </w:r>
      <w:r>
        <w:rPr>
          <w:spacing w:val="-7"/>
          <w:sz w:val="16"/>
        </w:rPr>
        <w:t xml:space="preserve"> </w:t>
      </w:r>
      <w:r>
        <w:rPr>
          <w:sz w:val="16"/>
        </w:rPr>
        <w:t>group</w:t>
      </w:r>
      <w:r>
        <w:rPr>
          <w:spacing w:val="-6"/>
          <w:sz w:val="16"/>
        </w:rPr>
        <w:t xml:space="preserve"> </w:t>
      </w:r>
      <w:r>
        <w:rPr>
          <w:sz w:val="16"/>
        </w:rPr>
        <w:t>was</w:t>
      </w:r>
      <w:r>
        <w:rPr>
          <w:spacing w:val="-7"/>
          <w:sz w:val="16"/>
        </w:rPr>
        <w:t xml:space="preserve"> </w:t>
      </w:r>
      <w:r>
        <w:rPr>
          <w:sz w:val="16"/>
        </w:rPr>
        <w:t>inhibited</w:t>
      </w:r>
      <w:r>
        <w:rPr>
          <w:spacing w:val="-6"/>
          <w:sz w:val="16"/>
        </w:rPr>
        <w:t xml:space="preserve"> </w:t>
      </w:r>
      <w:r>
        <w:rPr>
          <w:sz w:val="16"/>
        </w:rPr>
        <w:t>compared</w:t>
      </w:r>
      <w:r>
        <w:rPr>
          <w:spacing w:val="-6"/>
          <w:sz w:val="16"/>
        </w:rPr>
        <w:t xml:space="preserve"> </w:t>
      </w:r>
      <w:r>
        <w:rPr>
          <w:sz w:val="16"/>
        </w:rPr>
        <w:t>to</w:t>
      </w:r>
      <w:r>
        <w:rPr>
          <w:spacing w:val="-7"/>
          <w:sz w:val="16"/>
        </w:rPr>
        <w:t xml:space="preserve"> </w:t>
      </w:r>
      <w:r>
        <w:rPr>
          <w:sz w:val="16"/>
        </w:rPr>
        <w:t>the</w:t>
      </w:r>
      <w:r>
        <w:rPr>
          <w:spacing w:val="-6"/>
          <w:sz w:val="16"/>
        </w:rPr>
        <w:t xml:space="preserve"> </w:t>
      </w:r>
      <w:r>
        <w:rPr>
          <w:sz w:val="16"/>
        </w:rPr>
        <w:t>CON</w:t>
      </w:r>
      <w:r>
        <w:rPr>
          <w:spacing w:val="-6"/>
          <w:sz w:val="16"/>
        </w:rPr>
        <w:t xml:space="preserve"> </w:t>
      </w:r>
      <w:r>
        <w:rPr>
          <w:sz w:val="16"/>
        </w:rPr>
        <w:t>group</w:t>
      </w:r>
      <w:r>
        <w:rPr>
          <w:spacing w:val="-7"/>
          <w:sz w:val="16"/>
        </w:rPr>
        <w:t xml:space="preserve"> </w:t>
      </w:r>
      <w:r>
        <w:rPr>
          <w:sz w:val="16"/>
        </w:rPr>
        <w:t>and</w:t>
      </w:r>
      <w:r>
        <w:rPr>
          <w:spacing w:val="-6"/>
          <w:sz w:val="16"/>
        </w:rPr>
        <w:t xml:space="preserve"> </w:t>
      </w:r>
      <w:r>
        <w:rPr>
          <w:sz w:val="16"/>
        </w:rPr>
        <w:t>the</w:t>
      </w:r>
      <w:r>
        <w:rPr>
          <w:spacing w:val="-6"/>
          <w:sz w:val="16"/>
        </w:rPr>
        <w:t xml:space="preserve"> </w:t>
      </w:r>
      <w:r>
        <w:rPr>
          <w:sz w:val="16"/>
        </w:rPr>
        <w:t>NC</w:t>
      </w:r>
      <w:r>
        <w:rPr>
          <w:spacing w:val="-7"/>
          <w:sz w:val="16"/>
        </w:rPr>
        <w:t xml:space="preserve"> </w:t>
      </w:r>
      <w:r>
        <w:rPr>
          <w:sz w:val="16"/>
        </w:rPr>
        <w:t>group</w:t>
      </w:r>
      <w:r>
        <w:rPr>
          <w:spacing w:val="-6"/>
          <w:sz w:val="16"/>
        </w:rPr>
        <w:t xml:space="preserve"> </w:t>
      </w:r>
      <w:r>
        <w:rPr>
          <w:sz w:val="16"/>
        </w:rPr>
        <w:t>on</w:t>
      </w:r>
      <w:r>
        <w:rPr>
          <w:spacing w:val="-6"/>
          <w:sz w:val="16"/>
        </w:rPr>
        <w:t xml:space="preserve"> </w:t>
      </w:r>
      <w:r>
        <w:rPr>
          <w:sz w:val="16"/>
        </w:rPr>
        <w:t xml:space="preserve">the third day </w:t>
      </w:r>
      <w:r>
        <w:rPr>
          <w:spacing w:val="-3"/>
          <w:sz w:val="16"/>
        </w:rPr>
        <w:t>(</w:t>
      </w:r>
      <w:r>
        <w:rPr>
          <w:spacing w:val="-3"/>
          <w:position w:val="6"/>
          <w:sz w:val="9"/>
        </w:rPr>
        <w:t>*</w:t>
      </w:r>
      <w:r>
        <w:rPr>
          <w:spacing w:val="-3"/>
          <w:sz w:val="16"/>
        </w:rPr>
        <w:t xml:space="preserve">P&lt;0.05). </w:t>
      </w:r>
      <w:r>
        <w:rPr>
          <w:sz w:val="16"/>
        </w:rPr>
        <w:t>HIF-1</w:t>
      </w:r>
      <w:r>
        <w:rPr>
          <w:sz w:val="15"/>
        </w:rPr>
        <w:t>α</w:t>
      </w:r>
      <w:r>
        <w:rPr>
          <w:sz w:val="16"/>
        </w:rPr>
        <w:t xml:space="preserve">, hypoxia‑inducible factor </w:t>
      </w:r>
      <w:r>
        <w:rPr>
          <w:spacing w:val="-4"/>
          <w:sz w:val="16"/>
        </w:rPr>
        <w:t xml:space="preserve">1; </w:t>
      </w:r>
      <w:r>
        <w:rPr>
          <w:sz w:val="16"/>
        </w:rPr>
        <w:t>ESCC, oesophageal squamous</w:t>
      </w:r>
      <w:r>
        <w:rPr>
          <w:spacing w:val="-7"/>
          <w:sz w:val="16"/>
        </w:rPr>
        <w:t xml:space="preserve"> </w:t>
      </w:r>
      <w:r>
        <w:rPr>
          <w:sz w:val="16"/>
        </w:rPr>
        <w:t>cell</w:t>
      </w:r>
      <w:r>
        <w:rPr>
          <w:spacing w:val="-7"/>
          <w:sz w:val="16"/>
        </w:rPr>
        <w:t xml:space="preserve"> </w:t>
      </w:r>
      <w:r>
        <w:rPr>
          <w:sz w:val="16"/>
        </w:rPr>
        <w:t>carcinoma;</w:t>
      </w:r>
      <w:r>
        <w:rPr>
          <w:spacing w:val="-7"/>
          <w:sz w:val="16"/>
        </w:rPr>
        <w:t xml:space="preserve"> </w:t>
      </w:r>
      <w:r>
        <w:rPr>
          <w:spacing w:val="-3"/>
          <w:sz w:val="16"/>
        </w:rPr>
        <w:t>CON,</w:t>
      </w:r>
      <w:r>
        <w:rPr>
          <w:spacing w:val="-7"/>
          <w:sz w:val="16"/>
        </w:rPr>
        <w:t xml:space="preserve"> </w:t>
      </w:r>
      <w:r>
        <w:rPr>
          <w:sz w:val="16"/>
        </w:rPr>
        <w:t>control</w:t>
      </w:r>
      <w:r>
        <w:rPr>
          <w:spacing w:val="-6"/>
          <w:sz w:val="16"/>
        </w:rPr>
        <w:t xml:space="preserve"> </w:t>
      </w:r>
      <w:r>
        <w:rPr>
          <w:sz w:val="16"/>
        </w:rPr>
        <w:t>cells;</w:t>
      </w:r>
      <w:r>
        <w:rPr>
          <w:spacing w:val="-7"/>
          <w:sz w:val="16"/>
        </w:rPr>
        <w:t xml:space="preserve"> </w:t>
      </w:r>
      <w:r>
        <w:rPr>
          <w:spacing w:val="-2"/>
          <w:sz w:val="16"/>
        </w:rPr>
        <w:t>NC,</w:t>
      </w:r>
      <w:r>
        <w:rPr>
          <w:spacing w:val="-7"/>
          <w:sz w:val="16"/>
        </w:rPr>
        <w:t xml:space="preserve"> </w:t>
      </w:r>
      <w:r>
        <w:rPr>
          <w:sz w:val="16"/>
        </w:rPr>
        <w:t>negative</w:t>
      </w:r>
      <w:r>
        <w:rPr>
          <w:spacing w:val="-7"/>
          <w:sz w:val="16"/>
        </w:rPr>
        <w:t xml:space="preserve"> </w:t>
      </w:r>
      <w:r>
        <w:rPr>
          <w:sz w:val="16"/>
        </w:rPr>
        <w:t>control</w:t>
      </w:r>
      <w:r>
        <w:rPr>
          <w:spacing w:val="-7"/>
          <w:sz w:val="16"/>
        </w:rPr>
        <w:t xml:space="preserve"> </w:t>
      </w:r>
      <w:r>
        <w:rPr>
          <w:sz w:val="16"/>
        </w:rPr>
        <w:t>cells.</w:t>
      </w:r>
    </w:p>
    <w:p>
      <w:pPr>
        <w:jc w:val="left"/>
        <w:rPr>
          <w:rFonts w:hint="eastAsia"/>
          <w:lang w:eastAsia="zh-CN"/>
        </w:rPr>
      </w:pPr>
    </w:p>
    <w:p>
      <w:pPr>
        <w:jc w:val="left"/>
        <w:rPr>
          <w:rFonts w:hint="eastAsia"/>
          <w:lang w:eastAsia="zh-CN"/>
        </w:rPr>
      </w:pPr>
    </w:p>
    <w:p>
      <w:pPr>
        <w:jc w:val="left"/>
        <w:rPr>
          <w:rFonts w:hint="eastAsia" w:ascii="Arial"/>
          <w:b/>
          <w:color w:val="BF5A14"/>
          <w:sz w:val="20"/>
          <w:lang w:eastAsia="zh-CN"/>
        </w:rPr>
      </w:pPr>
      <w:r>
        <w:rPr>
          <w:rFonts w:ascii="Arial"/>
          <w:b/>
          <w:color w:val="BF5A14"/>
          <w:sz w:val="20"/>
        </w:rPr>
        <w:t xml:space="preserve">Recent Publications </w:t>
      </w:r>
      <w:r>
        <w:rPr>
          <w:rFonts w:hint="eastAsia" w:ascii="Arial"/>
          <w:b/>
          <w:color w:val="BF5A14"/>
          <w:sz w:val="20"/>
          <w:lang w:eastAsia="zh-CN"/>
        </w:rPr>
        <w:t>：</w:t>
      </w: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default" w:eastAsia="宋体"/>
          <w:sz w:val="18"/>
          <w:lang w:val="en-US" w:eastAsia="zh-CN"/>
        </w:rPr>
      </w:pPr>
      <w:r>
        <w:rPr>
          <w:rFonts w:hint="eastAsia" w:eastAsia="宋体"/>
          <w:sz w:val="18"/>
          <w:lang w:val="en-US" w:eastAsia="zh-CN"/>
        </w:rPr>
        <w:t>1.Xiaoqi Chen,</w:t>
      </w:r>
      <w:r>
        <w:rPr>
          <w:sz w:val="18"/>
        </w:rPr>
        <w:t>(</w:t>
      </w:r>
      <w:r>
        <w:rPr>
          <w:rFonts w:hint="eastAsia" w:eastAsia="宋体"/>
          <w:sz w:val="18"/>
          <w:lang w:val="en-US" w:eastAsia="zh-CN"/>
        </w:rPr>
        <w:t>2018</w:t>
      </w:r>
      <w:r>
        <w:rPr>
          <w:sz w:val="18"/>
        </w:rPr>
        <w:t>)</w:t>
      </w:r>
      <w:r>
        <w:rPr>
          <w:rFonts w:hint="eastAsia" w:eastAsia="宋体"/>
          <w:sz w:val="18"/>
          <w:lang w:val="en-US" w:eastAsia="zh-CN"/>
        </w:rPr>
        <w:t xml:space="preserve">  LncRNA MIR31HG inhibits The Proliferation of Esophageal Squamous Cell Carcinoma Cells by inducing CellCycle. Progress in Biochemistry and Biophysics ;2018, 45(7): 745~751.</w:t>
      </w: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default" w:eastAsia="宋体"/>
          <w:sz w:val="18"/>
          <w:lang w:val="en-US" w:eastAsia="zh-CN"/>
        </w:rPr>
      </w:pPr>
      <w:r>
        <w:rPr>
          <w:rFonts w:hint="eastAsia" w:eastAsia="宋体"/>
          <w:sz w:val="18"/>
          <w:lang w:val="en-US" w:eastAsia="zh-CN"/>
        </w:rPr>
        <w:t>2.Xiaoqi Chen,(2018)  Role and mechanism of Dvl3 in the esophageal squamous cell carcinoma.European review for medical and pharmacological sciences;2018; 22: 7716-7725.</w:t>
      </w: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eastAsia" w:eastAsia="宋体"/>
          <w:sz w:val="18"/>
          <w:lang w:val="en-US" w:eastAsia="zh-CN"/>
        </w:rPr>
      </w:pPr>
      <w:r>
        <w:rPr>
          <w:rFonts w:hint="eastAsia" w:eastAsia="宋体"/>
          <w:sz w:val="18"/>
          <w:lang w:val="en-US" w:eastAsia="zh-CN"/>
        </w:rPr>
        <w:t xml:space="preserve">3.Xiaoqi Chen,(2017)  miR-202 Promotes Cell Apoptosis in Esophageal Squamous </w:t>
      </w:r>
      <w:r>
        <w:rPr>
          <w:rFonts w:hint="default" w:eastAsia="宋体"/>
          <w:sz w:val="18"/>
          <w:lang w:val="en-US" w:eastAsia="zh-CN"/>
        </w:rPr>
        <w:t>Cell Carcinoma by Targeting HSF2</w:t>
      </w:r>
      <w:r>
        <w:rPr>
          <w:rFonts w:hint="eastAsia" w:eastAsia="宋体"/>
          <w:sz w:val="18"/>
          <w:lang w:val="en-US" w:eastAsia="zh-CN"/>
        </w:rPr>
        <w:t xml:space="preserve">,Oncology Research, Vol. 25, pp. 215–223. </w:t>
      </w: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default" w:eastAsia="宋体"/>
          <w:sz w:val="18"/>
          <w:lang w:val="en-US" w:eastAsia="zh-CN"/>
        </w:rPr>
      </w:pPr>
      <w:r>
        <w:rPr>
          <w:rFonts w:hint="eastAsia" w:eastAsia="宋体"/>
          <w:sz w:val="18"/>
          <w:lang w:val="en-US" w:eastAsia="zh-CN"/>
        </w:rPr>
        <w:t xml:space="preserve">4.Xiaoqi Chen,(2016)  MicroRNA-202 inhibits tumor progression by targeting LAMA1 in </w:t>
      </w:r>
      <w:r>
        <w:rPr>
          <w:rFonts w:hint="default" w:eastAsia="宋体"/>
          <w:sz w:val="18"/>
          <w:lang w:val="en-US" w:eastAsia="zh-CN"/>
        </w:rPr>
        <w:t>esophageal squamous cell carcinoma</w:t>
      </w:r>
      <w:r>
        <w:rPr>
          <w:rFonts w:hint="eastAsia" w:eastAsia="宋体"/>
          <w:sz w:val="18"/>
          <w:lang w:val="en-US" w:eastAsia="zh-CN"/>
        </w:rPr>
        <w:t>,Biochemical and Biophysical Research Communications; 473(2016) 821e</w:t>
      </w:r>
      <w:r>
        <w:rPr>
          <w:rFonts w:hint="default" w:eastAsia="宋体"/>
          <w:sz w:val="18"/>
          <w:lang w:val="en-US" w:eastAsia="zh-CN"/>
        </w:rPr>
        <w:t>827</w:t>
      </w:r>
      <w:r>
        <w:rPr>
          <w:rFonts w:hint="eastAsia" w:eastAsia="宋体"/>
          <w:sz w:val="18"/>
          <w:lang w:val="en-US" w:eastAsia="zh-CN"/>
        </w:rPr>
        <w:t>.</w:t>
      </w: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eastAsia" w:eastAsia="宋体"/>
          <w:sz w:val="18"/>
          <w:lang w:val="en-US" w:eastAsia="zh-CN"/>
        </w:rPr>
      </w:pPr>
      <w:r>
        <w:rPr>
          <w:rFonts w:hint="eastAsia" w:eastAsia="宋体"/>
          <w:sz w:val="18"/>
          <w:lang w:val="en-US" w:eastAsia="zh-CN"/>
        </w:rPr>
        <w:t xml:space="preserve">5.Xiaoqi Chen,(2016)  </w:t>
      </w:r>
      <w:r>
        <w:rPr>
          <w:rFonts w:hint="default" w:eastAsia="宋体"/>
          <w:sz w:val="18"/>
          <w:lang w:val="en-US" w:eastAsia="zh-CN"/>
        </w:rPr>
        <w:t>miR-135a acts as a tumor suppressor in gastric cancer in part by targeting KIFC1</w:t>
      </w:r>
      <w:r>
        <w:rPr>
          <w:rFonts w:hint="eastAsia" w:eastAsia="宋体"/>
          <w:sz w:val="18"/>
          <w:lang w:val="en-US" w:eastAsia="zh-CN"/>
        </w:rPr>
        <w:t>,</w:t>
      </w:r>
      <w:r>
        <w:rPr>
          <w:rFonts w:hint="default" w:eastAsia="宋体"/>
          <w:sz w:val="18"/>
          <w:lang w:val="en-US" w:eastAsia="zh-CN"/>
        </w:rPr>
        <w:t>OncoTargets and Therapy</w:t>
      </w:r>
      <w:r>
        <w:rPr>
          <w:rFonts w:hint="eastAsia" w:eastAsia="宋体"/>
          <w:sz w:val="18"/>
          <w:lang w:val="en-US" w:eastAsia="zh-CN"/>
        </w:rPr>
        <w:t>;</w:t>
      </w:r>
      <w:r>
        <w:rPr>
          <w:rFonts w:hint="default" w:eastAsia="宋体"/>
          <w:sz w:val="18"/>
          <w:lang w:val="en-US" w:eastAsia="zh-CN"/>
        </w:rPr>
        <w:t>2016:9</w:t>
      </w:r>
      <w:r>
        <w:rPr>
          <w:rFonts w:hint="eastAsia" w:eastAsia="宋体"/>
          <w:sz w:val="18"/>
          <w:lang w:val="en-US" w:eastAsia="zh-CN"/>
        </w:rPr>
        <w:t xml:space="preserve"> 3555-3563</w:t>
      </w: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eastAsia" w:eastAsia="宋体"/>
          <w:sz w:val="18"/>
          <w:lang w:val="en-US" w:eastAsia="zh-CN"/>
        </w:rPr>
      </w:pP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eastAsia" w:eastAsia="宋体"/>
          <w:sz w:val="18"/>
          <w:lang w:val="en-US" w:eastAsia="zh-CN"/>
        </w:rPr>
      </w:pP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eastAsia" w:eastAsia="宋体"/>
          <w:sz w:val="18"/>
          <w:lang w:val="en-US" w:eastAsia="zh-CN"/>
        </w:rPr>
      </w:pP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eastAsia" w:eastAsia="宋体"/>
          <w:sz w:val="18"/>
          <w:lang w:val="en-US" w:eastAsia="zh-CN"/>
        </w:rPr>
      </w:pPr>
    </w:p>
    <w:p>
      <w:pPr>
        <w:keepNext w:val="0"/>
        <w:keepLines w:val="0"/>
        <w:pageBreakBefore w:val="0"/>
        <w:widowControl/>
        <w:suppressLineNumbers w:val="0"/>
        <w:kinsoku/>
        <w:wordWrap/>
        <w:overflowPunct/>
        <w:topLinePunct w:val="0"/>
        <w:autoSpaceDE/>
        <w:autoSpaceDN/>
        <w:bidi w:val="0"/>
        <w:adjustRightInd/>
        <w:snapToGrid/>
        <w:ind w:left="90" w:hanging="90" w:hangingChars="50"/>
        <w:jc w:val="left"/>
        <w:textAlignment w:val="auto"/>
        <w:rPr>
          <w:rFonts w:hint="eastAsia" w:eastAsia="宋体"/>
          <w:sz w:val="18"/>
          <w:lang w:val="en-US" w:eastAsia="zh-CN"/>
        </w:rPr>
      </w:pPr>
    </w:p>
    <w:p>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eastAsia="宋体"/>
          <w:sz w:val="18"/>
          <w:lang w:val="en-US" w:eastAsia="zh-CN"/>
        </w:rPr>
      </w:pP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ind w:left="90" w:hanging="20" w:hangingChars="50"/>
        <w:jc w:val="left"/>
        <w:textAlignment w:val="auto"/>
      </w:pPr>
      <w:r>
        <w:rPr>
          <w:rFonts w:ascii="Calibri"/>
          <w:sz w:val="4"/>
          <w:lang w:val="en-IN" w:eastAsia="en-IN"/>
        </w:rPr>
        <mc:AlternateContent>
          <mc:Choice Requires="wpg">
            <w:drawing>
              <wp:inline distT="0" distB="0" distL="0" distR="0">
                <wp:extent cx="2330450" cy="76200"/>
                <wp:effectExtent l="0" t="12700" r="12700" b="0"/>
                <wp:docPr id="4" name="Group 4"/>
                <wp:cNvGraphicFramePr/>
                <a:graphic xmlns:a="http://schemas.openxmlformats.org/drawingml/2006/main">
                  <a:graphicData uri="http://schemas.microsoft.com/office/word/2010/wordprocessingGroup">
                    <wpg:wgp>
                      <wpg:cNvGrpSpPr/>
                      <wpg:grpSpPr>
                        <a:xfrm>
                          <a:off x="0" y="0"/>
                          <a:ext cx="2330450" cy="76200"/>
                          <a:chOff x="76" y="11"/>
                          <a:chExt cx="6221" cy="0"/>
                        </a:xfrm>
                      </wpg:grpSpPr>
                      <wps:wsp>
                        <wps:cNvPr id="15" name="Line 5"/>
                        <wps:cNvCnPr/>
                        <wps:spPr bwMode="auto">
                          <a:xfrm>
                            <a:off x="76" y="11"/>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6pt;width:183.5pt;" coordorigin="76,11" coordsize="6221,0" o:gfxdata="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07Qj1AAAAAQBAAAPAAAAAAAAAAEAIAAAACIAAABkcnMvZG93bnJldi54bWxQSwECFAAU&#10;AAAACACHTuJAZzbd3fUBAABHBAAADgAAAAAAAAABACAAAAAjAQAAZHJzL2Uyb0RvYy54bWxQSwUG&#10;AAAAAAYABgBZAQAAigUAAAAA&#10;">
                <o:lock v:ext="edit" aspectratio="f"/>
                <v:line id="Line 5" o:spid="_x0000_s1026" o:spt="20" style="position:absolute;left:76;top:11;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keepNext w:val="0"/>
        <w:keepLines w:val="0"/>
        <w:widowControl/>
        <w:suppressLineNumbers w:val="0"/>
        <w:jc w:val="left"/>
        <w:rPr>
          <w:rFonts w:hint="eastAsia" w:eastAsiaTheme="minorEastAsia"/>
          <w:lang w:val="en-US" w:eastAsia="zh-CN"/>
        </w:rPr>
      </w:pPr>
      <w:r>
        <w:rPr>
          <w:rFonts w:ascii="Calibri"/>
          <w:b/>
          <w:sz w:val="20"/>
        </w:rPr>
        <w:drawing>
          <wp:inline distT="0" distB="0" distL="114300" distR="114300">
            <wp:extent cx="865505" cy="823595"/>
            <wp:effectExtent l="0" t="0" r="10795" b="14605"/>
            <wp:docPr id="2" name="图片 2" descr="微信图片_2019092119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190921191317"/>
                    <pic:cNvPicPr>
                      <a:picLocks noChangeAspect="1"/>
                    </pic:cNvPicPr>
                  </pic:nvPicPr>
                  <pic:blipFill>
                    <a:blip r:embed="rId6"/>
                    <a:stretch>
                      <a:fillRect/>
                    </a:stretch>
                  </pic:blipFill>
                  <pic:spPr>
                    <a:xfrm>
                      <a:off x="0" y="0"/>
                      <a:ext cx="865505" cy="823595"/>
                    </a:xfrm>
                    <a:prstGeom prst="rect">
                      <a:avLst/>
                    </a:prstGeom>
                  </pic:spPr>
                </pic:pic>
              </a:graphicData>
            </a:graphic>
          </wp:inline>
        </w:drawing>
      </w:r>
      <w:r>
        <w:rPr>
          <w:rFonts w:hint="eastAsia" w:ascii="Calibri"/>
          <w:b/>
          <w:sz w:val="20"/>
          <w:lang w:val="en-US" w:eastAsia="zh-CN"/>
        </w:rPr>
        <w:t xml:space="preserve">   </w:t>
      </w:r>
      <w:r>
        <w:rPr>
          <w:rFonts w:ascii="Calibri"/>
          <w:b/>
          <w:sz w:val="20"/>
        </w:rPr>
        <w:t>Photograph</w:t>
      </w:r>
      <w:r>
        <w:rPr>
          <w:rFonts w:hint="eastAsia" w:ascii="Calibri"/>
          <w:b/>
          <w:sz w:val="20"/>
          <w:lang w:val="en-US" w:eastAsia="zh-CN"/>
        </w:rPr>
        <w:t xml:space="preserve">     </w:t>
      </w:r>
    </w:p>
    <w:p>
      <w:pPr>
        <w:keepNext w:val="0"/>
        <w:keepLines w:val="0"/>
        <w:widowControl/>
        <w:suppressLineNumbers w:val="0"/>
        <w:jc w:val="left"/>
        <w:rPr>
          <w:rFonts w:hint="eastAsia" w:ascii="Arial"/>
          <w:b w:val="0"/>
          <w:bCs/>
          <w:color w:val="auto"/>
          <w:sz w:val="20"/>
          <w:lang w:eastAsia="zh-CN"/>
        </w:rPr>
      </w:pPr>
      <w:r>
        <w:rPr>
          <w:rFonts w:hint="eastAsia" w:ascii="Arial"/>
          <w:b w:val="0"/>
          <w:bCs/>
          <w:color w:val="auto"/>
          <w:sz w:val="20"/>
          <w:lang w:eastAsia="zh-CN"/>
        </w:rPr>
        <w:t>Xiaoqi</w:t>
      </w:r>
      <w:r>
        <w:rPr>
          <w:rFonts w:hint="eastAsia" w:ascii="Arial"/>
          <w:b w:val="0"/>
          <w:bCs/>
          <w:color w:val="auto"/>
          <w:sz w:val="20"/>
          <w:lang w:val="en-US" w:eastAsia="zh-CN"/>
        </w:rPr>
        <w:t xml:space="preserve"> </w:t>
      </w:r>
      <w:r>
        <w:rPr>
          <w:rFonts w:hint="eastAsia" w:ascii="Arial"/>
          <w:b w:val="0"/>
          <w:bCs/>
          <w:color w:val="auto"/>
          <w:sz w:val="20"/>
          <w:lang w:eastAsia="zh-CN"/>
        </w:rPr>
        <w:t>Chen, Ph.D. in clinical oncology combined with Chinese and Western</w:t>
      </w:r>
    </w:p>
    <w:p>
      <w:pPr>
        <w:jc w:val="left"/>
        <w:rPr>
          <w:rFonts w:hint="eastAsia" w:ascii="Arial"/>
          <w:b w:val="0"/>
          <w:bCs/>
          <w:color w:val="auto"/>
          <w:sz w:val="20"/>
          <w:lang w:eastAsia="zh-CN"/>
        </w:rPr>
      </w:pPr>
      <w:r>
        <w:rPr>
          <w:rFonts w:hint="eastAsia" w:ascii="Arial"/>
          <w:b w:val="0"/>
          <w:bCs/>
          <w:color w:val="auto"/>
          <w:sz w:val="20"/>
          <w:lang w:eastAsia="zh-CN"/>
        </w:rPr>
        <w:t>medicine, is mainly engaged in the clinical, basic and teaching research work of</w:t>
      </w:r>
      <w:r>
        <w:rPr>
          <w:rFonts w:hint="eastAsia" w:ascii="Arial"/>
          <w:b w:val="0"/>
          <w:bCs/>
          <w:color w:val="auto"/>
          <w:sz w:val="20"/>
          <w:lang w:val="en-US" w:eastAsia="zh-CN"/>
        </w:rPr>
        <w:t xml:space="preserve"> </w:t>
      </w:r>
      <w:r>
        <w:rPr>
          <w:rFonts w:hint="eastAsia" w:ascii="Arial"/>
          <w:b w:val="0"/>
          <w:bCs/>
          <w:color w:val="auto"/>
          <w:sz w:val="20"/>
          <w:lang w:eastAsia="zh-CN"/>
        </w:rPr>
        <w:t>Chinese and Western medicine combined with common diseases of digestive system and digestive system tumors. He presided over the National Natural Science Foundation of China, and participated in the National Science and Technology Major Project as the person in charge of the sub-center. He has published more than 20 academic papers by the first or</w:t>
      </w:r>
    </w:p>
    <w:p>
      <w:pPr>
        <w:jc w:val="left"/>
        <w:rPr>
          <w:rFonts w:hint="eastAsia" w:ascii="Arial"/>
          <w:b w:val="0"/>
          <w:bCs/>
          <w:color w:val="auto"/>
          <w:sz w:val="20"/>
          <w:lang w:eastAsia="zh-CN"/>
        </w:rPr>
      </w:pPr>
      <w:r>
        <w:rPr>
          <w:rFonts w:hint="eastAsia" w:ascii="Arial"/>
          <w:b w:val="0"/>
          <w:bCs/>
          <w:color w:val="auto"/>
          <w:sz w:val="20"/>
          <w:lang w:eastAsia="zh-CN"/>
        </w:rPr>
        <w:t>correspondent authors, including 7 SCI papers and 2 books.</w:t>
      </w:r>
    </w:p>
    <w:p>
      <w:pPr>
        <w:jc w:val="left"/>
        <w:rPr>
          <w:rFonts w:hint="eastAsia" w:ascii="Arial"/>
          <w:b w:val="0"/>
          <w:bCs/>
          <w:color w:val="BF5A14"/>
          <w:sz w:val="20"/>
          <w:lang w:eastAsia="zh-CN"/>
        </w:rPr>
      </w:pPr>
    </w:p>
    <w:p>
      <w:pPr>
        <w:jc w:val="left"/>
        <w:rPr>
          <w:rFonts w:hint="default" w:ascii="Arial"/>
          <w:b w:val="0"/>
          <w:bCs/>
          <w:color w:val="auto"/>
          <w:sz w:val="20"/>
          <w:lang w:val="en-US" w:eastAsia="zh-CN"/>
        </w:rPr>
      </w:pPr>
      <w:r>
        <w:rPr>
          <w:rFonts w:hint="eastAsia" w:ascii="Arial"/>
          <w:b w:val="0"/>
          <w:bCs/>
          <w:color w:val="auto"/>
          <w:sz w:val="20"/>
          <w:lang w:eastAsia="zh-CN"/>
        </w:rPr>
        <w:t>Email:28050827@qq.com</w:t>
      </w:r>
      <w:r>
        <w:rPr>
          <w:sz w:val="20"/>
        </w:rPr>
        <mc:AlternateContent>
          <mc:Choice Requires="wps">
            <w:drawing>
              <wp:anchor distT="0" distB="0" distL="114300" distR="114300" simplePos="0" relativeHeight="251659264" behindDoc="0" locked="0" layoutInCell="1" allowOverlap="1">
                <wp:simplePos x="0" y="0"/>
                <wp:positionH relativeFrom="column">
                  <wp:posOffset>46990</wp:posOffset>
                </wp:positionH>
                <wp:positionV relativeFrom="paragraph">
                  <wp:posOffset>183515</wp:posOffset>
                </wp:positionV>
                <wp:extent cx="2259965" cy="0"/>
                <wp:effectExtent l="0" t="0" r="0" b="0"/>
                <wp:wrapNone/>
                <wp:docPr id="10" name="直接连接符 10"/>
                <wp:cNvGraphicFramePr/>
                <a:graphic xmlns:a="http://schemas.openxmlformats.org/drawingml/2006/main">
                  <a:graphicData uri="http://schemas.microsoft.com/office/word/2010/wordprocessingShape">
                    <wps:wsp>
                      <wps:cNvCnPr/>
                      <wps:spPr>
                        <a:xfrm>
                          <a:off x="3970655" y="9694545"/>
                          <a:ext cx="225996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_x0000_s1026" o:spid="_x0000_s1026" o:spt="20" style="position:absolute;left:0pt;margin-left:3.7pt;margin-top:14.45pt;height:0pt;width:177.95pt;z-index:251659264;mso-width-relative:page;mso-height-relative:page;" filled="f" stroked="t" coordsize="21600,21600" o:gfxdata="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ekB1wAAAAcBAAAPAAAA&#10;AAAAAAEAIAAAACIAAABkcnMvZG93bnJldi54bWxQSwECFAAUAAAACACHTuJA4AWWw90BAAByAwAA&#10;DgAAAAAAAAABACAAAAAmAQAAZHJzL2Uyb0RvYy54bWxQSwUGAAAAAAYABgBZAQAAdQUAAAAA&#10;">
                <v:fill on="f" focussize="0,0"/>
                <v:stroke weight="1.5pt" color="#5B9BD5 [3204]" miterlimit="8" joinstyle="miter"/>
                <v:imagedata o:title=""/>
                <o:lock v:ext="edit" aspectratio="f"/>
              </v:line>
            </w:pict>
          </mc:Fallback>
        </mc:AlternateContent>
      </w:r>
    </w:p>
    <w:sectPr>
      <w:type w:val="continuous"/>
      <w:pgSz w:w="11906" w:h="16838"/>
      <w:pgMar w:top="1440" w:right="1800" w:bottom="1440" w:left="1800" w:header="851" w:footer="992" w:gutter="0"/>
      <w:cols w:equalWidth="0" w:num="2">
        <w:col w:w="3940" w:space="425"/>
        <w:col w:w="394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794A35"/>
    <w:rsid w:val="101F1B97"/>
    <w:rsid w:val="12BA7204"/>
    <w:rsid w:val="210A3F09"/>
    <w:rsid w:val="3AD45B13"/>
    <w:rsid w:val="40794A35"/>
    <w:rsid w:val="6AFF2A35"/>
    <w:rsid w:val="7DAC5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1"/>
    <w:pPr>
      <w:ind w:left="100"/>
      <w:outlineLvl w:val="2"/>
    </w:pPr>
    <w:rPr>
      <w:rFonts w:ascii="Arial" w:hAnsi="Arial" w:eastAsia="Arial" w:cs="Arial"/>
      <w:b/>
      <w:bCs/>
      <w:sz w:val="20"/>
      <w:szCs w:val="20"/>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3">
    <w:name w:val="Body Text"/>
    <w:basedOn w:val="1"/>
    <w:qFormat/>
    <w:uiPriority w:val="1"/>
    <w:rPr>
      <w:rFonts w:ascii="Times New Roman" w:hAnsi="Times New Roman" w:eastAsia="Times New Roman" w:cs="Times New Roman"/>
      <w:sz w:val="20"/>
      <w:szCs w:val="20"/>
      <w:lang w:val="en-US" w:eastAsia="en-US" w:bidi="en-US"/>
    </w:rPr>
  </w:style>
  <w:style w:type="character" w:styleId="6">
    <w:name w:val="FollowedHyperlink"/>
    <w:basedOn w:val="5"/>
    <w:uiPriority w:val="0"/>
    <w:rPr>
      <w:color w:val="800080"/>
      <w:u w:val="none"/>
    </w:rPr>
  </w:style>
  <w:style w:type="character" w:styleId="7">
    <w:name w:val="Hyperlink"/>
    <w:basedOn w:val="5"/>
    <w:unhideWhenUsed/>
    <w:uiPriority w:val="99"/>
    <w:rPr>
      <w:color w:val="0000FF"/>
      <w:u w:val="none"/>
    </w:rPr>
  </w:style>
  <w:style w:type="paragraph" w:styleId="8">
    <w:name w:val="List Paragraph"/>
    <w:basedOn w:val="1"/>
    <w:qFormat/>
    <w:uiPriority w:val="1"/>
    <w:pPr>
      <w:spacing w:before="90" w:line="200" w:lineRule="exact"/>
      <w:ind w:left="383" w:hanging="283"/>
      <w:jc w:val="both"/>
    </w:pPr>
    <w:rPr>
      <w:rFonts w:ascii="Calibri" w:hAnsi="Calibri" w:eastAsia="Calibri" w:cs="Calibri"/>
    </w:rPr>
  </w:style>
  <w:style w:type="character" w:customStyle="1" w:styleId="9">
    <w:name w:val="tcolor4"/>
    <w:basedOn w:val="5"/>
    <w:uiPriority w:val="0"/>
    <w:rPr>
      <w:rFonts w:ascii="Verdana" w:hAnsi="Verdana" w:eastAsia="Verdana" w:cs="Verdana"/>
      <w:color w:val="7F7F7F"/>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2019-09-20T15:00:00Z</dcterms:created>
  <dc:creator>赵哇塞</dc:creator>
  <cp:lastModifiedBy>赵哇塞</cp:lastModifiedBy>
  <dcterms:modified xsi:type="dcterms:W3CDTF">2019-09-21T11:29:39Z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