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292" w:rsidRPr="006C3292" w:rsidRDefault="006C3292" w:rsidP="006C3292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6C3292">
        <w:rPr>
          <w:rFonts w:asciiTheme="majorBidi" w:hAnsiTheme="majorBidi" w:cstheme="majorBidi"/>
          <w:b/>
          <w:bCs/>
          <w:sz w:val="28"/>
          <w:szCs w:val="28"/>
        </w:rPr>
        <w:t>Indoor exposure assessment of radon in the elementary schools, Palestine</w:t>
      </w:r>
    </w:p>
    <w:p w:rsidR="006C3292" w:rsidRDefault="006C3292" w:rsidP="006C3292">
      <w:pPr>
        <w:jc w:val="both"/>
        <w:rPr>
          <w:b/>
          <w:bCs/>
        </w:rPr>
      </w:pPr>
      <w:r w:rsidRPr="006C3292">
        <w:rPr>
          <w:b/>
          <w:bCs/>
        </w:rPr>
        <w:t xml:space="preserve">    H. Al Zabadi</w:t>
      </w:r>
      <w:r w:rsidRPr="006C3292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,2</w:t>
      </w:r>
      <w:r>
        <w:rPr>
          <w:b/>
          <w:bCs/>
        </w:rPr>
        <w:t xml:space="preserve">, </w:t>
      </w:r>
      <w:r w:rsidRPr="006C3292">
        <w:rPr>
          <w:b/>
          <w:bCs/>
        </w:rPr>
        <w:t>K. Mallah</w:t>
      </w:r>
      <w:r w:rsidRPr="006C3292">
        <w:rPr>
          <w:b/>
          <w:bCs/>
          <w:vertAlign w:val="superscript"/>
        </w:rPr>
        <w:t>2</w:t>
      </w:r>
      <w:r>
        <w:rPr>
          <w:b/>
          <w:bCs/>
        </w:rPr>
        <w:t xml:space="preserve">,  </w:t>
      </w:r>
      <w:r w:rsidRPr="006C3292">
        <w:rPr>
          <w:b/>
          <w:bCs/>
        </w:rPr>
        <w:t>G. Saffarini</w:t>
      </w:r>
      <w:r w:rsidRPr="006C3292">
        <w:rPr>
          <w:b/>
          <w:bCs/>
          <w:vertAlign w:val="superscript"/>
        </w:rPr>
        <w:t>3</w:t>
      </w:r>
    </w:p>
    <w:p w:rsidR="006C3292" w:rsidRPr="006C3292" w:rsidRDefault="006C3292" w:rsidP="006C3292">
      <w:pPr>
        <w:jc w:val="both"/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</w:pPr>
      <w:r w:rsidRPr="006C3292">
        <w:rPr>
          <w:rStyle w:val="Emphasis"/>
          <w:rFonts w:asciiTheme="majorBidi" w:hAnsiTheme="majorBidi" w:cstheme="majorBidi"/>
          <w:i w:val="0"/>
          <w:iCs w:val="0"/>
          <w:sz w:val="24"/>
          <w:szCs w:val="24"/>
          <w:vertAlign w:val="superscript"/>
        </w:rPr>
        <w:t>1</w:t>
      </w:r>
      <w:r w:rsidRPr="006C3292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Public Health Department, Faculty of Medicine and Health Sciences, An- </w:t>
      </w:r>
      <w:proofErr w:type="spellStart"/>
      <w:r w:rsidRPr="006C3292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Najah</w:t>
      </w:r>
      <w:proofErr w:type="spellEnd"/>
      <w:r w:rsidRPr="006C3292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 National University, Nablus, Palestine , halzabadi@gmail.com</w:t>
      </w:r>
    </w:p>
    <w:p w:rsidR="006C3292" w:rsidRPr="006C3292" w:rsidRDefault="006C3292" w:rsidP="006C3292">
      <w:pPr>
        <w:jc w:val="both"/>
        <w:rPr>
          <w:rFonts w:asciiTheme="majorBidi" w:hAnsiTheme="majorBidi" w:cstheme="majorBidi"/>
          <w:sz w:val="24"/>
          <w:szCs w:val="24"/>
        </w:rPr>
      </w:pPr>
      <w:r w:rsidRPr="006C3292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6C3292">
        <w:rPr>
          <w:rFonts w:asciiTheme="majorBidi" w:hAnsiTheme="majorBidi" w:cstheme="majorBidi"/>
          <w:sz w:val="24"/>
          <w:szCs w:val="24"/>
        </w:rPr>
        <w:t>Public Health Program, Faculty of Graduate studies, An-</w:t>
      </w:r>
      <w:proofErr w:type="spellStart"/>
      <w:r w:rsidRPr="006C3292">
        <w:rPr>
          <w:rFonts w:asciiTheme="majorBidi" w:hAnsiTheme="majorBidi" w:cstheme="majorBidi"/>
          <w:sz w:val="24"/>
          <w:szCs w:val="24"/>
        </w:rPr>
        <w:t>Najah</w:t>
      </w:r>
      <w:proofErr w:type="spellEnd"/>
      <w:r w:rsidRPr="006C3292">
        <w:rPr>
          <w:rFonts w:asciiTheme="majorBidi" w:hAnsiTheme="majorBidi" w:cstheme="majorBidi"/>
          <w:sz w:val="24"/>
          <w:szCs w:val="24"/>
        </w:rPr>
        <w:t xml:space="preserve"> National University, Nablus, Palestine</w:t>
      </w:r>
    </w:p>
    <w:p w:rsidR="006C3292" w:rsidRPr="006C3292" w:rsidRDefault="006C3292" w:rsidP="006C3292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6C3292">
        <w:rPr>
          <w:rFonts w:asciiTheme="majorBidi" w:eastAsia="Times New Roman" w:hAnsiTheme="majorBidi" w:cstheme="majorBidi"/>
          <w:sz w:val="24"/>
          <w:szCs w:val="24"/>
          <w:vertAlign w:val="superscript"/>
        </w:rPr>
        <w:t>3</w:t>
      </w:r>
      <w:r w:rsidRPr="006C3292">
        <w:rPr>
          <w:rFonts w:asciiTheme="majorBidi" w:eastAsia="Times New Roman" w:hAnsiTheme="majorBidi" w:cstheme="majorBidi"/>
          <w:sz w:val="24"/>
          <w:szCs w:val="24"/>
        </w:rPr>
        <w:t>Radiation Physics Laboratory, Department of Physics, Faculty of Science, An-</w:t>
      </w:r>
      <w:proofErr w:type="spellStart"/>
      <w:r w:rsidRPr="006C3292">
        <w:rPr>
          <w:rFonts w:asciiTheme="majorBidi" w:eastAsia="Times New Roman" w:hAnsiTheme="majorBidi" w:cstheme="majorBidi"/>
          <w:sz w:val="24"/>
          <w:szCs w:val="24"/>
        </w:rPr>
        <w:t>Najah</w:t>
      </w:r>
      <w:proofErr w:type="spellEnd"/>
      <w:r w:rsidRPr="006C3292">
        <w:rPr>
          <w:rFonts w:asciiTheme="majorBidi" w:eastAsia="Times New Roman" w:hAnsiTheme="majorBidi" w:cstheme="majorBidi"/>
          <w:sz w:val="24"/>
          <w:szCs w:val="24"/>
        </w:rPr>
        <w:t xml:space="preserve"> National University, Nablus, Palestine</w:t>
      </w:r>
    </w:p>
    <w:p w:rsidR="006C3292" w:rsidRPr="006C3292" w:rsidRDefault="006C3292" w:rsidP="006C3292">
      <w:pPr>
        <w:jc w:val="both"/>
        <w:rPr>
          <w:b/>
          <w:bCs/>
        </w:rPr>
      </w:pPr>
    </w:p>
    <w:p w:rsidR="006C3292" w:rsidRPr="006C3292" w:rsidRDefault="006C3292" w:rsidP="006C3292">
      <w:pPr>
        <w:jc w:val="both"/>
        <w:rPr>
          <w:b/>
          <w:bCs/>
        </w:rPr>
      </w:pPr>
      <w:r w:rsidRPr="006C3292">
        <w:rPr>
          <w:b/>
          <w:bCs/>
        </w:rPr>
        <w:t>Abstract</w:t>
      </w:r>
    </w:p>
    <w:p w:rsidR="00AB01AA" w:rsidRDefault="006C3292" w:rsidP="006C3292">
      <w:pPr>
        <w:jc w:val="both"/>
        <w:rPr>
          <w:rStyle w:val="collabsible-text"/>
        </w:rPr>
      </w:pPr>
      <w:r>
        <w:rPr>
          <w:rStyle w:val="collabsible-text"/>
        </w:rPr>
        <w:t xml:space="preserve">Background: Many public health agencies rank residential radon exposure as the second leading cause of lung cancer after </w:t>
      </w:r>
      <w:proofErr w:type="spellStart"/>
      <w:r>
        <w:rPr>
          <w:rStyle w:val="collabsible-text"/>
        </w:rPr>
        <w:t>cigaretie</w:t>
      </w:r>
      <w:proofErr w:type="spellEnd"/>
      <w:r>
        <w:rPr>
          <w:rStyle w:val="collabsible-text"/>
        </w:rPr>
        <w:t xml:space="preserve"> smoking. It has been shown that the risk coefficient for lung cancer is higher for children than that for adults. Therefore, indoor radon measurements were carried out in the elementary schools of </w:t>
      </w:r>
      <w:proofErr w:type="spellStart"/>
      <w:r>
        <w:rPr>
          <w:rStyle w:val="collabsible-text"/>
        </w:rPr>
        <w:t>Tulkarem</w:t>
      </w:r>
      <w:proofErr w:type="spellEnd"/>
      <w:r>
        <w:rPr>
          <w:rStyle w:val="collabsible-text"/>
        </w:rPr>
        <w:t xml:space="preserve"> province, West Bank, Palestine. Materials and Methods: Two hundred and thirty solid state nuclear track detectors (SSNTDs) type CR-39 were distributed in the classrooms of 20 elementary schools in </w:t>
      </w:r>
      <w:proofErr w:type="spellStart"/>
      <w:r>
        <w:rPr>
          <w:rStyle w:val="collabsible-text"/>
        </w:rPr>
        <w:t>Tulkarem</w:t>
      </w:r>
      <w:proofErr w:type="spellEnd"/>
      <w:r>
        <w:rPr>
          <w:rStyle w:val="collabsible-text"/>
        </w:rPr>
        <w:t xml:space="preserve"> province area. About thirty of them were used for quality assurance purposes. The CR-39 detectors were exposed in the schools for three months during the school summer holiday from May 2012 to August 2012 and then collected and etched in Sodium Hydroxide (</w:t>
      </w:r>
      <w:proofErr w:type="spellStart"/>
      <w:r>
        <w:rPr>
          <w:rStyle w:val="collabsible-text"/>
        </w:rPr>
        <w:t>NaOH</w:t>
      </w:r>
      <w:proofErr w:type="spellEnd"/>
      <w:r>
        <w:rPr>
          <w:rStyle w:val="collabsible-text"/>
        </w:rPr>
        <w:t xml:space="preserve">) 6.25 N solution at 75 degrees C for 6 h. The tracks were counted manually at the digital microscope. Results: The indoor radon levels were generally low, ranging from 3.48 to 210.51 </w:t>
      </w:r>
      <w:proofErr w:type="spellStart"/>
      <w:r>
        <w:rPr>
          <w:rStyle w:val="collabsible-text"/>
        </w:rPr>
        <w:t>Bq</w:t>
      </w:r>
      <w:proofErr w:type="spellEnd"/>
      <w:r>
        <w:rPr>
          <w:rStyle w:val="collabsible-text"/>
        </w:rPr>
        <w:t xml:space="preserve">/m(3) (Becquerel per cubic meter), with a mean radon concentration (mean +/- SE; standard error) of 40.42+/-2.49 </w:t>
      </w:r>
      <w:proofErr w:type="spellStart"/>
      <w:r>
        <w:rPr>
          <w:rStyle w:val="collabsible-text"/>
        </w:rPr>
        <w:t>Bq</w:t>
      </w:r>
      <w:proofErr w:type="spellEnd"/>
      <w:r>
        <w:rPr>
          <w:rStyle w:val="collabsible-text"/>
        </w:rPr>
        <w:t xml:space="preserve">/m(3). The average annual radon effective dose was assessed to be (mean+/-SE) 0.17+/-0.01 </w:t>
      </w:r>
      <w:proofErr w:type="spellStart"/>
      <w:r>
        <w:rPr>
          <w:rStyle w:val="collabsible-text"/>
        </w:rPr>
        <w:t>mSv</w:t>
      </w:r>
      <w:proofErr w:type="spellEnd"/>
      <w:r>
        <w:rPr>
          <w:rStyle w:val="collabsible-text"/>
        </w:rPr>
        <w:t>/y (</w:t>
      </w:r>
      <w:proofErr w:type="spellStart"/>
      <w:r>
        <w:rPr>
          <w:rStyle w:val="collabsible-text"/>
        </w:rPr>
        <w:t>milliSievert</w:t>
      </w:r>
      <w:proofErr w:type="spellEnd"/>
      <w:r>
        <w:rPr>
          <w:rStyle w:val="collabsible-text"/>
        </w:rPr>
        <w:t xml:space="preserve"> per year) while the excess lifetime lung cancer risk was approximately 0.09%. The results obtained indicate that the indoor radon concentration was significantly affected by the floor level of the classroom (negatively correlated) and the school building age (positively correlated). Conclusion: The radon concentration and the resulting dose in the schools were within the reference levels of the International Commission on Radiological Protection (ICRP). </w:t>
      </w:r>
      <w:proofErr w:type="spellStart"/>
      <w:r>
        <w:rPr>
          <w:rStyle w:val="collabsible-text"/>
        </w:rPr>
        <w:t>Betier</w:t>
      </w:r>
      <w:proofErr w:type="spellEnd"/>
      <w:r>
        <w:rPr>
          <w:rStyle w:val="collabsible-text"/>
        </w:rPr>
        <w:t xml:space="preserve"> ventilation is recommended to decrease the risk to the minimum.</w:t>
      </w:r>
    </w:p>
    <w:p w:rsidR="006C3292" w:rsidRDefault="006C3292" w:rsidP="006C3292">
      <w:pPr>
        <w:jc w:val="both"/>
      </w:pPr>
      <w:r w:rsidRPr="006C3292">
        <w:rPr>
          <w:b/>
          <w:bCs/>
        </w:rPr>
        <w:t>Keywords:</w:t>
      </w:r>
      <w:r w:rsidRPr="006C3292">
        <w:t xml:space="preserve"> Indoor radon, schools, CR-39, effective dose, lung cancer risk</w:t>
      </w:r>
    </w:p>
    <w:p w:rsidR="006C3292" w:rsidRDefault="006C3292" w:rsidP="006C3292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6C3292">
        <w:rPr>
          <w:rFonts w:ascii="Times New Roman" w:eastAsia="Times New Roman" w:hAnsi="Times New Roman" w:cs="Times New Roman"/>
          <w:sz w:val="23"/>
          <w:szCs w:val="23"/>
        </w:rPr>
        <w:t xml:space="preserve">Int. J. </w:t>
      </w:r>
      <w:proofErr w:type="spellStart"/>
      <w:r w:rsidRPr="006C3292">
        <w:rPr>
          <w:rFonts w:ascii="Times New Roman" w:eastAsia="Times New Roman" w:hAnsi="Times New Roman" w:cs="Times New Roman"/>
          <w:sz w:val="23"/>
          <w:szCs w:val="23"/>
        </w:rPr>
        <w:t>Radiat</w:t>
      </w:r>
      <w:proofErr w:type="spellEnd"/>
      <w:r w:rsidRPr="006C3292">
        <w:rPr>
          <w:rFonts w:ascii="Times New Roman" w:eastAsia="Times New Roman" w:hAnsi="Times New Roman" w:cs="Times New Roman"/>
          <w:sz w:val="23"/>
          <w:szCs w:val="23"/>
        </w:rPr>
        <w:t xml:space="preserve">. Res., July 2015; 13(3): 221-228 </w:t>
      </w:r>
    </w:p>
    <w:p w:rsidR="006C3292" w:rsidRPr="006C3292" w:rsidRDefault="006C3292" w:rsidP="006C3292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6C3292" w:rsidRPr="006C3292" w:rsidRDefault="006C3292" w:rsidP="006C3292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  <w:r w:rsidRPr="006C3292">
        <w:rPr>
          <w:rFonts w:ascii="Arial" w:eastAsia="Times New Roman" w:hAnsi="Arial" w:cs="Arial"/>
          <w:sz w:val="23"/>
          <w:szCs w:val="23"/>
        </w:rPr>
        <w:t>DOI: 10.</w:t>
      </w:r>
      <w:r w:rsidRPr="006C3292">
        <w:rPr>
          <w:rFonts w:ascii="Arial" w:eastAsia="Times New Roman" w:hAnsi="Arial" w:cs="Arial"/>
        </w:rPr>
        <w:t>7</w:t>
      </w:r>
      <w:r w:rsidRPr="006C3292">
        <w:rPr>
          <w:rFonts w:ascii="Arial" w:eastAsia="Times New Roman" w:hAnsi="Arial" w:cs="Arial"/>
          <w:sz w:val="23"/>
          <w:szCs w:val="23"/>
        </w:rPr>
        <w:t>508/ijrr.2015.0</w:t>
      </w:r>
      <w:r w:rsidRPr="006C3292">
        <w:rPr>
          <w:rFonts w:ascii="Arial" w:eastAsia="Times New Roman" w:hAnsi="Arial" w:cs="Arial"/>
        </w:rPr>
        <w:t>3</w:t>
      </w:r>
      <w:r w:rsidRPr="006C3292">
        <w:rPr>
          <w:rFonts w:ascii="Arial" w:eastAsia="Times New Roman" w:hAnsi="Arial" w:cs="Arial"/>
          <w:sz w:val="23"/>
          <w:szCs w:val="23"/>
        </w:rPr>
        <w:t>.004</w:t>
      </w:r>
    </w:p>
    <w:p w:rsidR="006C3292" w:rsidRDefault="006C3292" w:rsidP="006C3292">
      <w:pPr>
        <w:jc w:val="both"/>
      </w:pPr>
    </w:p>
    <w:sectPr w:rsidR="006C3292" w:rsidSect="00AB01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C3292"/>
    <w:rsid w:val="006C3292"/>
    <w:rsid w:val="00AB0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llabsible-text">
    <w:name w:val="collabsible-text"/>
    <w:basedOn w:val="DefaultParagraphFont"/>
    <w:rsid w:val="006C3292"/>
  </w:style>
  <w:style w:type="character" w:styleId="Emphasis">
    <w:name w:val="Emphasis"/>
    <w:basedOn w:val="DefaultParagraphFont"/>
    <w:uiPriority w:val="20"/>
    <w:qFormat/>
    <w:rsid w:val="006C329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6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9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52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9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6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8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4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8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6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8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5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5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4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9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0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76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9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36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8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2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9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8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6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9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76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0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02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9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95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7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9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1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59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5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3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Dr.Hamzah</dc:creator>
  <cp:lastModifiedBy>Dr.Hamzah</cp:lastModifiedBy>
  <cp:revision>1</cp:revision>
  <dcterms:created xsi:type="dcterms:W3CDTF">2018-02-14T08:49:00Z</dcterms:created>
  <dcterms:modified xsi:type="dcterms:W3CDTF">2018-02-14T08:57:00Z</dcterms:modified>
</cp:coreProperties>
</file>