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C51213">
      <w:pPr>
        <w:pStyle w:val="2"/>
        <w:spacing w:before="170" w:beforeAutospacing="0" w:after="0" w:afterAutospacing="0" w:line="400" w:lineRule="exact"/>
        <w:ind w:left="0"/>
        <w:jc w:val="left"/>
        <w:outlineLvl w:val="0"/>
        <w:rPr>
          <w:rFonts w:hint="default" w:ascii="Minion Pro" w:hAnsi="Minion Pro" w:eastAsia="Minion Pro" w:cs="Minion Pro"/>
          <w:color w:val="337AB7"/>
          <w:kern w:val="0"/>
          <w:sz w:val="36"/>
          <w:szCs w:val="36"/>
          <w:lang w:eastAsia="en-US" w:bidi="ar-SA"/>
        </w:rPr>
      </w:pPr>
      <w:r>
        <w:rPr>
          <w:rFonts w:hint="default" w:ascii="Minion Pro" w:hAnsi="Minion Pro" w:eastAsia="Minion Pro" w:cs="Minion Pro"/>
          <w:color w:val="337AB7"/>
          <w:kern w:val="0"/>
          <w:sz w:val="36"/>
          <w:szCs w:val="36"/>
          <w:lang w:eastAsia="en-US" w:bidi="ar-SA"/>
        </w:rPr>
        <w:t>Ectopic Tubal Pregnancy with Partial Hydatidiform Mole: A Case Report and Literature Review</w:t>
      </w:r>
    </w:p>
    <w:p w14:paraId="2621D3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jc w:val="left"/>
        <w:rPr>
          <w:color w:val="000000"/>
          <w:sz w:val="12"/>
          <w:szCs w:val="12"/>
        </w:rPr>
        <w:sectPr>
          <w:pgSz w:w="11906" w:h="16838"/>
          <w:pgMar w:top="1440" w:right="1800" w:bottom="1440" w:left="1800" w:header="851" w:footer="992" w:gutter="0"/>
          <w:cols w:space="425" w:num="1"/>
          <w:docGrid w:type="lines" w:linePitch="312" w:charSpace="0"/>
        </w:sectPr>
      </w:pPr>
      <w:r>
        <w:rPr>
          <w:rFonts w:hint="default" w:ascii="Arial" w:hAnsi="Arial" w:eastAsia="宋体" w:cs="Arial"/>
          <w:color w:val="000000"/>
          <w:kern w:val="0"/>
          <w:sz w:val="18"/>
          <w:szCs w:val="18"/>
          <w:lang w:val="en-US" w:eastAsia="zh-CN" w:bidi="ar"/>
        </w:rPr>
        <w:t>Ning Wu</w:t>
      </w:r>
      <w:r>
        <w:rPr>
          <w:rFonts w:hint="eastAsia" w:ascii="Arial" w:hAnsi="Arial" w:eastAsia="宋体" w:cs="Arial"/>
          <w:color w:val="000000"/>
          <w:kern w:val="0"/>
          <w:sz w:val="18"/>
          <w:szCs w:val="18"/>
          <w:lang w:val="en-US" w:eastAsia="zh-CN" w:bidi="ar"/>
        </w:rPr>
        <w:t xml:space="preserve"> </w:t>
      </w:r>
      <w:r>
        <w:rPr>
          <w:rFonts w:hint="default" w:ascii="Arial" w:hAnsi="Arial" w:eastAsia="宋体" w:cs="Arial"/>
          <w:color w:val="000000"/>
          <w:kern w:val="0"/>
          <w:sz w:val="18"/>
          <w:szCs w:val="18"/>
          <w:lang w:val="en-US" w:eastAsia="zh-CN" w:bidi="ar"/>
        </w:rPr>
        <w:t>Department of Obstetrics and Gynecology, The First People's Hospital of Chongqing High-tech Zone, Chongqing 401331, China</w:t>
      </w:r>
      <w:bookmarkStart w:id="0" w:name="_GoBack"/>
      <w:bookmarkEnd w:id="0"/>
    </w:p>
    <w:p w14:paraId="11C1B284">
      <w:pPr>
        <w:pStyle w:val="4"/>
        <w:keepNext w:val="0"/>
        <w:keepLines w:val="0"/>
        <w:pageBreakBefore w:val="0"/>
        <w:kinsoku/>
        <w:wordWrap/>
        <w:overflowPunct/>
        <w:topLinePunct w:val="0"/>
        <w:autoSpaceDE/>
        <w:autoSpaceDN/>
        <w:bidi w:val="0"/>
        <w:adjustRightInd/>
        <w:snapToGrid/>
        <w:spacing w:before="147" w:beforeAutospacing="0" w:after="0" w:afterAutospacing="0" w:line="200" w:lineRule="exact"/>
        <w:jc w:val="both"/>
        <w:textAlignment w:val="auto"/>
        <w:outlineLvl w:val="2"/>
        <w:rPr>
          <w:rFonts w:hint="default" w:ascii="Arial" w:hAnsi="Arial" w:eastAsia="Arial" w:cs="Arial"/>
          <w:color w:val="BF5A14"/>
          <w:kern w:val="0"/>
          <w:sz w:val="20"/>
          <w:szCs w:val="20"/>
          <w:lang w:eastAsia="en-US" w:bidi="ar-SA"/>
        </w:rPr>
      </w:pPr>
      <w:r>
        <w:rPr>
          <w:rFonts w:hint="default" w:ascii="Arial" w:hAnsi="Arial" w:eastAsia="Arial" w:cs="Arial"/>
          <w:color w:val="BF5A14"/>
          <w:kern w:val="0"/>
          <w:sz w:val="20"/>
          <w:szCs w:val="20"/>
          <w:lang w:eastAsia="en-US" w:bidi="ar-SA"/>
        </w:rPr>
        <w:t xml:space="preserve">Abstract </w:t>
      </w:r>
    </w:p>
    <w:p w14:paraId="6CA65D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0" w:lineRule="exact"/>
        <w:ind w:left="0" w:right="0"/>
        <w:jc w:val="both"/>
        <w:textAlignment w:val="auto"/>
        <w:outlineLvl w:val="9"/>
        <w:rPr>
          <w:rStyle w:val="7"/>
          <w:rFonts w:hint="default" w:ascii="Tw Cen MT" w:hAnsi="Tw Cen MT" w:cs="Tw Cen MT"/>
          <w:sz w:val="18"/>
          <w:szCs w:val="18"/>
        </w:rPr>
      </w:pPr>
      <w:r>
        <w:rPr>
          <w:rFonts w:hint="default" w:ascii="Tw Cen MT" w:hAnsi="Tw Cen MT" w:eastAsia="宋体" w:cs="Tw Cen MT"/>
          <w:color w:val="000000"/>
          <w:kern w:val="0"/>
          <w:sz w:val="18"/>
          <w:szCs w:val="18"/>
          <w:lang w:val="en-US" w:eastAsia="zh-CN" w:bidi="ar"/>
        </w:rPr>
        <w:t>Hydatidiform mole is a common type of gestational trophoblastic disease (GTD). Tubal ectopic pregnancy combined with partial hydatidiform mole is extremely rare and hard to diagnose preoperatively, with definitive diagnosis relying on surgical exploration and postoperative histopathology. We report a 31-year-old female with 54 days of amenorrhea and lower abdominal pain. Serum β-HCG was significantly elevated (130,290 mIU/mL), and transvaginal ultrasound (Figure 1) suggested left tubal ectopic pregnancy with pelvic hemorrhage. Emergency laparoscopic left salpingectomy (Figure 2) was performed. Postoperative pathology (Figure 3) confirmed partial hydatidiform mole in the left fallopian tube. The patient recovered smoothly, with serum β-HCG returning to normal within 8 weeks and no metastasis/recurrence during follow-up. Routine pathological examination of surgical specimens is essential to avoid misdiagnosis. This case aims to improve clinicians’ understanding and promote early diagnosis.</w:t>
      </w:r>
    </w:p>
    <w:p w14:paraId="610809A9">
      <w:pPr>
        <w:pStyle w:val="4"/>
        <w:keepNext w:val="0"/>
        <w:keepLines w:val="0"/>
        <w:pageBreakBefore w:val="0"/>
        <w:kinsoku/>
        <w:wordWrap/>
        <w:overflowPunct/>
        <w:topLinePunct w:val="0"/>
        <w:autoSpaceDE/>
        <w:autoSpaceDN/>
        <w:bidi w:val="0"/>
        <w:adjustRightInd/>
        <w:snapToGrid/>
        <w:spacing w:before="147" w:beforeAutospacing="0" w:after="0" w:afterAutospacing="0" w:line="200" w:lineRule="exact"/>
        <w:jc w:val="both"/>
        <w:textAlignment w:val="auto"/>
        <w:outlineLvl w:val="2"/>
        <w:rPr>
          <w:rFonts w:hint="default" w:ascii="Arial" w:hAnsi="Arial" w:eastAsia="Arial" w:cs="Arial"/>
          <w:color w:val="BF5A14"/>
          <w:kern w:val="0"/>
          <w:sz w:val="20"/>
          <w:szCs w:val="20"/>
          <w:lang w:eastAsia="en-US" w:bidi="ar-SA"/>
        </w:rPr>
      </w:pPr>
      <w:r>
        <w:rPr>
          <w:rFonts w:hint="default" w:ascii="Arial" w:hAnsi="Arial" w:eastAsia="Arial" w:cs="Arial"/>
          <w:color w:val="BF5A14"/>
          <w:kern w:val="0"/>
          <w:sz w:val="20"/>
          <w:szCs w:val="20"/>
          <w:lang w:eastAsia="en-US" w:bidi="ar-SA"/>
        </w:rPr>
        <w:t>C</w:t>
      </w:r>
      <w:r>
        <w:rPr>
          <w:rFonts w:hint="eastAsia" w:ascii="Arial" w:hAnsi="Arial" w:cs="Arial"/>
          <w:color w:val="BF5A14"/>
          <w:kern w:val="0"/>
          <w:sz w:val="20"/>
          <w:szCs w:val="20"/>
          <w:lang w:val="en-US" w:eastAsia="zh-CN" w:bidi="ar-SA"/>
        </w:rPr>
        <w:t>ase</w:t>
      </w:r>
      <w:r>
        <w:rPr>
          <w:rFonts w:hint="default" w:ascii="Arial" w:hAnsi="Arial" w:eastAsia="Arial" w:cs="Arial"/>
          <w:color w:val="BF5A14"/>
          <w:kern w:val="0"/>
          <w:sz w:val="20"/>
          <w:szCs w:val="20"/>
          <w:lang w:eastAsia="en-US" w:bidi="ar-SA"/>
        </w:rPr>
        <w:t xml:space="preserve"> P</w:t>
      </w:r>
      <w:r>
        <w:rPr>
          <w:rFonts w:hint="eastAsia" w:ascii="Arial" w:hAnsi="Arial" w:cs="Arial"/>
          <w:color w:val="BF5A14"/>
          <w:kern w:val="0"/>
          <w:sz w:val="20"/>
          <w:szCs w:val="20"/>
          <w:lang w:val="en-US" w:eastAsia="zh-CN" w:bidi="ar-SA"/>
        </w:rPr>
        <w:t>resentation</w:t>
      </w:r>
    </w:p>
    <w:p w14:paraId="47E9A95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auto"/>
        <w:rPr>
          <w:rFonts w:hint="default" w:ascii="Tw Cen MT" w:hAnsi="Tw Cen MT" w:eastAsia="宋体" w:cs="Tw Cen MT"/>
          <w:color w:val="000000"/>
          <w:kern w:val="0"/>
          <w:sz w:val="18"/>
          <w:szCs w:val="18"/>
          <w:lang w:val="en-US" w:eastAsia="zh-CN" w:bidi="ar"/>
        </w:rPr>
      </w:pPr>
      <w:r>
        <w:rPr>
          <w:rFonts w:hint="default" w:ascii="Tw Cen MT" w:hAnsi="Tw Cen MT" w:cs="Tw Cen MT"/>
          <w:color w:val="000000"/>
          <w:sz w:val="18"/>
          <w:szCs w:val="18"/>
          <w:lang w:val="en-US" w:eastAsia="zh-CN"/>
        </w:rPr>
        <w:t xml:space="preserve">A 31-year-old G1P0 woman was admitted with 54 days of amenorrhea and 1 day of lower abdominal pain. Serum β-human chorionic gonadotropin (β-HCG) was 130,290 mIU/mL. Transvaginal ultrasound (Figure 1) showed a mixed echogenic mass in the left adnexal region (containing a gestational sac, yolk sac, and embryo with cardiac activity), accompanied by pelvic effusion. Emergency laparoscopy (Figure 2) revealed approximately 500 mL of intra-abdominal hemorrhage and a ruptured left fallopian tube, and laparoscopic left salpingectomy was performed successfully. Postoperative pathological examination (Figure 3) confirmed partial hydatidiform mole in the left fallopian tube, and the final diagnosis was ectopic partial hydatidiform mole. Serum β-HCG was monitored weekly after surgery and decreased logarithmically, returning to normal at 8 weeks. The </w:t>
      </w:r>
      <w:r>
        <w:rPr>
          <w:rFonts w:hint="default" w:ascii="Tw Cen MT" w:hAnsi="Tw Cen MT" w:eastAsia="宋体" w:cs="Tw Cen MT"/>
          <w:color w:val="000000"/>
          <w:kern w:val="0"/>
          <w:sz w:val="18"/>
          <w:szCs w:val="18"/>
          <w:lang w:val="en-US" w:eastAsia="zh-CN" w:bidi="ar"/>
        </w:rPr>
        <w:t>patient was asymptomatic during the 3-month follow-up period.</w:t>
      </w:r>
    </w:p>
    <w:p w14:paraId="45E0E14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autoSpaceDE w:val="0"/>
        <w:autoSpaceDN/>
        <w:bidi w:val="0"/>
        <w:adjustRightInd/>
        <w:snapToGrid/>
        <w:spacing w:beforeAutospacing="0" w:after="0" w:afterAutospacing="0" w:line="180" w:lineRule="exact"/>
        <w:ind w:left="0" w:right="0" w:firstLine="0"/>
        <w:jc w:val="both"/>
        <w:textAlignment w:val="auto"/>
        <w:outlineLvl w:val="9"/>
        <w:rPr>
          <w:rStyle w:val="7"/>
          <w:rFonts w:hint="default" w:ascii="Tw Cen MT" w:hAnsi="Tw Cen MT" w:eastAsia="宋体" w:cs="Tw Cen MT"/>
          <w:sz w:val="18"/>
          <w:szCs w:val="18"/>
          <w:lang w:val="en-US" w:eastAsia="zh-CN"/>
        </w:rPr>
      </w:pPr>
    </w:p>
    <w:p w14:paraId="190C8028">
      <w:pPr>
        <w:pStyle w:val="4"/>
        <w:spacing w:before="147" w:beforeAutospacing="0" w:after="0" w:afterAutospacing="0"/>
        <w:jc w:val="both"/>
        <w:outlineLvl w:val="2"/>
        <w:rPr>
          <w:rFonts w:hint="eastAsia" w:ascii="Arial" w:hAnsi="Arial" w:eastAsia="宋体" w:cs="Arial"/>
          <w:color w:val="BF5A14"/>
          <w:kern w:val="0"/>
          <w:sz w:val="20"/>
          <w:szCs w:val="20"/>
          <w:lang w:eastAsia="zh-CN" w:bidi="ar-SA"/>
        </w:rPr>
      </w:pPr>
      <w:r>
        <w:rPr>
          <w:rFonts w:hint="eastAsia" w:ascii="Arial" w:hAnsi="Arial" w:eastAsia="宋体" w:cs="Arial"/>
          <w:color w:val="BF5A14"/>
          <w:kern w:val="0"/>
          <w:sz w:val="20"/>
          <w:szCs w:val="20"/>
          <w:lang w:eastAsia="zh-CN" w:bidi="ar-SA"/>
        </w:rPr>
        <w:drawing>
          <wp:inline distT="0" distB="0" distL="114300" distR="114300">
            <wp:extent cx="801370" cy="693420"/>
            <wp:effectExtent l="0" t="0" r="8255" b="1905"/>
            <wp:docPr id="2" name="图片 2" descr="微信图片_20260408224230_625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408224230_6251_3"/>
                    <pic:cNvPicPr>
                      <a:picLocks noChangeAspect="1"/>
                    </pic:cNvPicPr>
                  </pic:nvPicPr>
                  <pic:blipFill>
                    <a:blip r:embed="rId4"/>
                    <a:stretch>
                      <a:fillRect/>
                    </a:stretch>
                  </pic:blipFill>
                  <pic:spPr>
                    <a:xfrm>
                      <a:off x="0" y="0"/>
                      <a:ext cx="801370" cy="693420"/>
                    </a:xfrm>
                    <a:prstGeom prst="rect">
                      <a:avLst/>
                    </a:prstGeom>
                  </pic:spPr>
                </pic:pic>
              </a:graphicData>
            </a:graphic>
          </wp:inline>
        </w:drawing>
      </w:r>
      <w:r>
        <w:rPr>
          <w:rFonts w:hint="eastAsia" w:ascii="Arial" w:hAnsi="Arial" w:eastAsia="宋体" w:cs="Arial"/>
          <w:color w:val="BF5A14"/>
          <w:kern w:val="0"/>
          <w:sz w:val="20"/>
          <w:szCs w:val="20"/>
          <w:lang w:eastAsia="zh-CN" w:bidi="ar-SA"/>
        </w:rPr>
        <w:drawing>
          <wp:inline distT="0" distB="0" distL="114300" distR="114300">
            <wp:extent cx="782320" cy="691515"/>
            <wp:effectExtent l="0" t="0" r="8255" b="3810"/>
            <wp:docPr id="3" name="图片 3" descr="微信图片_20260408224238_6252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408224238_6252_3"/>
                    <pic:cNvPicPr>
                      <a:picLocks noChangeAspect="1"/>
                    </pic:cNvPicPr>
                  </pic:nvPicPr>
                  <pic:blipFill>
                    <a:blip r:embed="rId5"/>
                    <a:stretch>
                      <a:fillRect/>
                    </a:stretch>
                  </pic:blipFill>
                  <pic:spPr>
                    <a:xfrm>
                      <a:off x="0" y="0"/>
                      <a:ext cx="782320" cy="691515"/>
                    </a:xfrm>
                    <a:prstGeom prst="rect">
                      <a:avLst/>
                    </a:prstGeom>
                  </pic:spPr>
                </pic:pic>
              </a:graphicData>
            </a:graphic>
          </wp:inline>
        </w:drawing>
      </w:r>
      <w:r>
        <w:rPr>
          <w:rFonts w:hint="eastAsia" w:ascii="Arial" w:hAnsi="Arial" w:eastAsia="宋体" w:cs="Arial"/>
          <w:color w:val="BF5A14"/>
          <w:kern w:val="0"/>
          <w:sz w:val="20"/>
          <w:szCs w:val="20"/>
          <w:lang w:eastAsia="zh-CN" w:bidi="ar-SA"/>
        </w:rPr>
        <w:drawing>
          <wp:inline distT="0" distB="0" distL="114300" distR="114300">
            <wp:extent cx="787400" cy="686435"/>
            <wp:effectExtent l="0" t="0" r="3175" b="8890"/>
            <wp:docPr id="1" name="图片 1" descr="微信图片_20260408224215_6250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408224215_6250_3"/>
                    <pic:cNvPicPr>
                      <a:picLocks noChangeAspect="1"/>
                    </pic:cNvPicPr>
                  </pic:nvPicPr>
                  <pic:blipFill>
                    <a:blip r:embed="rId6"/>
                    <a:stretch>
                      <a:fillRect/>
                    </a:stretch>
                  </pic:blipFill>
                  <pic:spPr>
                    <a:xfrm>
                      <a:off x="0" y="0"/>
                      <a:ext cx="787400" cy="686435"/>
                    </a:xfrm>
                    <a:prstGeom prst="rect">
                      <a:avLst/>
                    </a:prstGeom>
                  </pic:spPr>
                </pic:pic>
              </a:graphicData>
            </a:graphic>
          </wp:inline>
        </w:drawing>
      </w:r>
    </w:p>
    <w:p w14:paraId="125FE2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3" w:lineRule="atLeast"/>
        <w:ind w:left="0" w:right="0"/>
        <w:jc w:val="both"/>
        <w:textAlignment w:val="auto"/>
        <w:outlineLvl w:val="9"/>
        <w:rPr>
          <w:rFonts w:hint="default" w:ascii="Tw Cen MT" w:hAnsi="Tw Cen MT" w:cs="Tw Cen MT"/>
          <w:color w:val="000000"/>
          <w:sz w:val="18"/>
          <w:szCs w:val="18"/>
          <w:lang w:val="en-US"/>
        </w:rPr>
      </w:pPr>
      <w:r>
        <w:rPr>
          <w:rStyle w:val="7"/>
          <w:rFonts w:hint="default" w:ascii="Tw Cen MT" w:hAnsi="Tw Cen MT" w:eastAsia="宋体" w:cs="Tw Cen MT"/>
          <w:sz w:val="18"/>
          <w:szCs w:val="18"/>
          <w:lang w:val="en-US" w:eastAsia="zh-CN"/>
        </w:rPr>
        <w:t>Figure 1</w:t>
      </w:r>
      <w:r>
        <w:rPr>
          <w:rStyle w:val="7"/>
          <w:rFonts w:hint="eastAsia" w:ascii="Tw Cen MT" w:hAnsi="Tw Cen MT" w:eastAsia="宋体" w:cs="Tw Cen MT"/>
          <w:sz w:val="18"/>
          <w:szCs w:val="18"/>
          <w:lang w:val="en-US" w:eastAsia="zh-CN"/>
        </w:rPr>
        <w:t xml:space="preserve">          </w:t>
      </w:r>
      <w:r>
        <w:rPr>
          <w:rStyle w:val="7"/>
          <w:rFonts w:hint="default" w:ascii="Tw Cen MT" w:hAnsi="Tw Cen MT" w:eastAsia="宋体" w:cs="Tw Cen MT"/>
          <w:sz w:val="18"/>
          <w:szCs w:val="18"/>
          <w:lang w:val="en-US" w:eastAsia="zh-CN"/>
        </w:rPr>
        <w:t>Figure 2</w:t>
      </w:r>
      <w:r>
        <w:rPr>
          <w:rStyle w:val="7"/>
          <w:rFonts w:hint="eastAsia" w:ascii="Tw Cen MT" w:hAnsi="Tw Cen MT" w:eastAsia="宋体" w:cs="Tw Cen MT"/>
          <w:sz w:val="18"/>
          <w:szCs w:val="18"/>
          <w:lang w:val="en-US" w:eastAsia="zh-CN"/>
        </w:rPr>
        <w:t xml:space="preserve">       </w:t>
      </w:r>
      <w:r>
        <w:rPr>
          <w:rStyle w:val="7"/>
          <w:rFonts w:hint="default" w:ascii="Tw Cen MT" w:hAnsi="Tw Cen MT" w:eastAsia="宋体" w:cs="Tw Cen MT"/>
          <w:sz w:val="18"/>
          <w:szCs w:val="18"/>
          <w:lang w:val="en-US" w:eastAsia="zh-CN"/>
        </w:rPr>
        <w:t xml:space="preserve">Figure </w:t>
      </w:r>
      <w:r>
        <w:rPr>
          <w:rStyle w:val="7"/>
          <w:rFonts w:hint="eastAsia" w:ascii="Tw Cen MT" w:hAnsi="Tw Cen MT" w:eastAsia="宋体" w:cs="Tw Cen MT"/>
          <w:sz w:val="18"/>
          <w:szCs w:val="18"/>
          <w:lang w:val="en-US" w:eastAsia="zh-CN"/>
        </w:rPr>
        <w:t>3</w:t>
      </w:r>
    </w:p>
    <w:p w14:paraId="7FA4C6E7">
      <w:pPr>
        <w:pStyle w:val="4"/>
        <w:keepNext w:val="0"/>
        <w:keepLines w:val="0"/>
        <w:pageBreakBefore w:val="0"/>
        <w:kinsoku/>
        <w:wordWrap/>
        <w:overflowPunct/>
        <w:topLinePunct w:val="0"/>
        <w:autoSpaceDE/>
        <w:autoSpaceDN/>
        <w:bidi w:val="0"/>
        <w:adjustRightInd/>
        <w:snapToGrid/>
        <w:spacing w:before="147" w:beforeAutospacing="0" w:after="0" w:afterAutospacing="0" w:line="200" w:lineRule="exact"/>
        <w:jc w:val="both"/>
        <w:textAlignment w:val="auto"/>
        <w:outlineLvl w:val="2"/>
        <w:rPr>
          <w:rFonts w:hint="default" w:ascii="Arial" w:hAnsi="Arial" w:eastAsia="Arial" w:cs="Arial"/>
          <w:color w:val="BF5A14"/>
          <w:kern w:val="0"/>
          <w:sz w:val="20"/>
          <w:szCs w:val="20"/>
          <w:lang w:eastAsia="en-US" w:bidi="ar-SA"/>
        </w:rPr>
      </w:pPr>
      <w:r>
        <w:rPr>
          <w:rFonts w:hint="default" w:ascii="Arial" w:hAnsi="Arial" w:eastAsia="Arial" w:cs="Arial"/>
          <w:color w:val="BF5A14"/>
          <w:kern w:val="0"/>
          <w:sz w:val="20"/>
          <w:szCs w:val="20"/>
          <w:lang w:eastAsia="en-US" w:bidi="ar-SA"/>
        </w:rPr>
        <w:t>D</w:t>
      </w:r>
      <w:r>
        <w:rPr>
          <w:rFonts w:hint="eastAsia" w:ascii="Arial" w:hAnsi="Arial" w:cs="Arial"/>
          <w:color w:val="BF5A14"/>
          <w:kern w:val="0"/>
          <w:sz w:val="20"/>
          <w:szCs w:val="20"/>
          <w:lang w:val="en-US" w:eastAsia="zh-CN" w:bidi="ar-SA"/>
        </w:rPr>
        <w:t>iscussion</w:t>
      </w:r>
    </w:p>
    <w:p w14:paraId="3626BE3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0" w:lineRule="exact"/>
        <w:ind w:left="0" w:right="0"/>
        <w:jc w:val="both"/>
        <w:textAlignment w:val="auto"/>
        <w:outlineLvl w:val="9"/>
        <w:rPr>
          <w:rFonts w:hint="default" w:ascii="Tw Cen MT" w:hAnsi="Tw Cen MT" w:eastAsia="宋体" w:cs="Tw Cen MT"/>
          <w:color w:val="000000"/>
          <w:kern w:val="0"/>
          <w:sz w:val="18"/>
          <w:szCs w:val="18"/>
          <w:lang w:val="en-US" w:eastAsia="en-US" w:bidi="ar"/>
        </w:rPr>
      </w:pPr>
      <w:r>
        <w:rPr>
          <w:rFonts w:hint="default" w:ascii="Tw Cen MT" w:hAnsi="Tw Cen MT" w:eastAsia="宋体" w:cs="Tw Cen MT"/>
          <w:color w:val="000000"/>
          <w:kern w:val="0"/>
          <w:sz w:val="18"/>
          <w:szCs w:val="18"/>
          <w:lang w:val="en-US" w:eastAsia="zh-CN" w:bidi="ar"/>
        </w:rPr>
        <w:t>Hydatidiform mole is a benign abnormal pregnancy characterized by trophoblastic hyperplasia and stromal edema. Ectopic molar pregnancy is extremely rare, with an incidence of approximately 1 in 20,000 to 100,000 pregnancies. Its clinical manifestations are similar to ordinary ectopic pregnancy, making preoperative diagnosis challenging.Key clinical points:</w:t>
      </w:r>
    </w:p>
    <w:p w14:paraId="7686300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0" w:lineRule="exact"/>
        <w:ind w:right="0" w:rightChars="0"/>
        <w:jc w:val="both"/>
        <w:textAlignment w:val="auto"/>
        <w:outlineLvl w:val="9"/>
        <w:rPr>
          <w:rFonts w:hint="default" w:ascii="Tw Cen MT" w:hAnsi="Tw Cen MT" w:cs="Tw Cen MT"/>
          <w:color w:val="000000"/>
          <w:sz w:val="18"/>
          <w:szCs w:val="18"/>
        </w:rPr>
      </w:pPr>
      <w:r>
        <w:rPr>
          <w:rFonts w:hint="default" w:ascii="Tw Cen MT" w:hAnsi="Tw Cen MT" w:cs="Tw Cen MT"/>
          <w:color w:val="000000"/>
          <w:sz w:val="18"/>
          <w:szCs w:val="18"/>
        </w:rPr>
        <w:t>Markedly elevated serum β-HCG (&gt;100,000 mIU/mL) suggests molar disease.Definitive diagnosis depends on histopathology and IHC (especially P57).All ectopic pregnancy specimens require routine pathological examination.Long-term serum β-HCG follow-up is mandatory for early detection of malignant transformation.</w:t>
      </w:r>
      <w:r>
        <w:rPr>
          <w:rFonts w:hint="default" w:ascii="Tw Cen MT" w:hAnsi="Tw Cen MT" w:eastAsia="宋体" w:cs="Tw Cen MT"/>
          <w:color w:val="000000"/>
          <w:kern w:val="0"/>
          <w:sz w:val="18"/>
          <w:szCs w:val="18"/>
          <w:lang w:val="en-US" w:eastAsia="zh-CN" w:bidi="ar"/>
        </w:rPr>
        <w:t>Tubal partial hydatidiform mole is rare but clinically significant. Awareness, accurate diagnosis, standardized surgery, and strict follow-up can improve prognosis and prevent complications.</w:t>
      </w:r>
    </w:p>
    <w:p w14:paraId="1F9CE5C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0" w:lineRule="exact"/>
        <w:ind w:right="0" w:rightChars="0"/>
        <w:jc w:val="both"/>
        <w:textAlignment w:val="auto"/>
        <w:outlineLvl w:val="9"/>
        <w:rPr>
          <w:rFonts w:hint="default" w:ascii="Tw Cen MT" w:hAnsi="Tw Cen MT" w:cs="Tw Cen MT"/>
          <w:color w:val="000000"/>
          <w:sz w:val="18"/>
          <w:szCs w:val="18"/>
        </w:rPr>
      </w:pPr>
      <w:r>
        <w:rPr>
          <w:rFonts w:ascii="Arial"/>
          <w:b/>
          <w:color w:val="BF5A14"/>
          <w:sz w:val="20"/>
        </w:rPr>
        <w:t>Recent Publications</w:t>
      </w:r>
    </w:p>
    <w:p w14:paraId="48D46948">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0" w:lineRule="exact"/>
        <w:ind w:left="425" w:leftChars="0" w:right="0" w:rightChars="0" w:hanging="425" w:firstLineChars="0"/>
        <w:jc w:val="both"/>
        <w:textAlignment w:val="auto"/>
        <w:outlineLvl w:val="9"/>
        <w:rPr>
          <w:rFonts w:hint="default" w:ascii="Tw Cen MT" w:hAnsi="Tw Cen MT" w:cs="Tw Cen MT"/>
          <w:color w:val="000000"/>
          <w:sz w:val="18"/>
          <w:szCs w:val="18"/>
        </w:rPr>
      </w:pPr>
      <w:r>
        <w:rPr>
          <w:rFonts w:hint="default" w:ascii="Tw Cen MT" w:hAnsi="Tw Cen MT" w:cs="Tw Cen MT"/>
          <w:color w:val="000000"/>
          <w:sz w:val="18"/>
          <w:szCs w:val="18"/>
        </w:rPr>
        <w:t>Lukinovic N, et al. Advances in diagnostics and management of gestational trophoblastic disease. Radiol Oncol. 2022;56(4):430-439.</w:t>
      </w:r>
    </w:p>
    <w:p w14:paraId="280FAE6A">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0" w:lineRule="exact"/>
        <w:ind w:left="425" w:leftChars="0" w:right="0" w:rightChars="0" w:hanging="425" w:firstLineChars="0"/>
        <w:jc w:val="both"/>
        <w:textAlignment w:val="auto"/>
        <w:outlineLvl w:val="9"/>
        <w:rPr>
          <w:rFonts w:hint="default" w:ascii="Tw Cen MT" w:hAnsi="Tw Cen MT" w:cs="Tw Cen MT"/>
          <w:color w:val="000000"/>
          <w:sz w:val="18"/>
          <w:szCs w:val="18"/>
        </w:rPr>
      </w:pPr>
      <w:r>
        <w:rPr>
          <w:rFonts w:hint="default" w:ascii="Tw Cen MT" w:hAnsi="Tw Cen MT" w:cs="Tw Cen MT"/>
          <w:color w:val="000000"/>
          <w:sz w:val="18"/>
          <w:szCs w:val="18"/>
        </w:rPr>
        <w:t>Xiao P, et al. Misdiagnosis of gestational trophoblastic neoplasia as ectopic pregnancy: A 15-year retrospective study. Front Med. 2022;9:1018573.</w:t>
      </w:r>
    </w:p>
    <w:p w14:paraId="056CF46B">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0" w:lineRule="exact"/>
        <w:ind w:left="425" w:leftChars="0" w:right="0" w:rightChars="0" w:hanging="425" w:firstLineChars="0"/>
        <w:jc w:val="both"/>
        <w:textAlignment w:val="auto"/>
        <w:outlineLvl w:val="9"/>
        <w:rPr>
          <w:rFonts w:hint="default" w:ascii="Tw Cen MT" w:hAnsi="Tw Cen MT" w:cs="Tw Cen MT"/>
          <w:color w:val="000000"/>
          <w:sz w:val="18"/>
          <w:szCs w:val="18"/>
        </w:rPr>
      </w:pPr>
      <w:r>
        <w:rPr>
          <w:rFonts w:hint="default" w:ascii="Tw Cen MT" w:hAnsi="Tw Cen MT" w:cs="Tw Cen MT"/>
          <w:color w:val="000000"/>
          <w:sz w:val="18"/>
          <w:szCs w:val="18"/>
        </w:rPr>
        <w:t>Zhao Y, et al. Challenges in diagnosing hydatidiform moles: a review of promising molecular biomarkers. Expert Rev Mol Diagn. 2022;22(8):783-796.</w:t>
      </w:r>
    </w:p>
    <w:p w14:paraId="7B49E6C6">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0" w:lineRule="exact"/>
        <w:ind w:left="425" w:leftChars="0" w:right="0" w:rightChars="0" w:hanging="425" w:firstLineChars="0"/>
        <w:jc w:val="both"/>
        <w:textAlignment w:val="auto"/>
        <w:outlineLvl w:val="9"/>
        <w:rPr>
          <w:rFonts w:hint="default" w:ascii="Tw Cen MT" w:hAnsi="Tw Cen MT" w:cs="Tw Cen MT"/>
          <w:color w:val="000000"/>
          <w:sz w:val="18"/>
          <w:szCs w:val="18"/>
        </w:rPr>
      </w:pPr>
      <w:r>
        <w:rPr>
          <w:rFonts w:hint="default" w:ascii="Tw Cen MT" w:hAnsi="Tw Cen MT" w:cs="Tw Cen MT"/>
          <w:color w:val="000000"/>
          <w:sz w:val="18"/>
          <w:szCs w:val="18"/>
        </w:rPr>
        <w:t>Lopez CL, et al. Gestational trophoblastic neoplasia after ectopic molar pregnancy. Rev Bras Ginecol Obstet. 2018;40(5):294-299.</w:t>
      </w:r>
    </w:p>
    <w:p w14:paraId="5C96CCF1">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0" w:lineRule="exact"/>
        <w:ind w:left="425" w:leftChars="0" w:right="0" w:rightChars="0" w:hanging="425" w:firstLineChars="0"/>
        <w:jc w:val="both"/>
        <w:textAlignment w:val="auto"/>
        <w:outlineLvl w:val="9"/>
        <w:rPr>
          <w:rFonts w:hint="default" w:ascii="Tw Cen MT" w:hAnsi="Tw Cen MT" w:cs="Tw Cen MT"/>
          <w:color w:val="000000"/>
          <w:sz w:val="18"/>
          <w:szCs w:val="18"/>
        </w:rPr>
      </w:pPr>
      <w:r>
        <w:rPr>
          <w:rFonts w:hint="default" w:ascii="Tw Cen MT" w:hAnsi="Tw Cen MT" w:cs="Tw Cen MT"/>
          <w:color w:val="000000"/>
          <w:sz w:val="18"/>
          <w:szCs w:val="18"/>
        </w:rPr>
        <w:t>Zhang T, Ye H. Advances in diagnosis and treatment of ectopic hydatidiform mole. Int J Reprod Health Contracept. 2024;43(1):28-30.</w:t>
      </w:r>
    </w:p>
    <w:p w14:paraId="30D8BFCB">
      <w:pPr>
        <w:pStyle w:val="5"/>
        <w:keepNext w:val="0"/>
        <w:keepLines w:val="0"/>
        <w:pageBreakBefore w:val="0"/>
        <w:widowControl w:val="0"/>
        <w:kinsoku/>
        <w:wordWrap w:val="0"/>
        <w:overflowPunct/>
        <w:topLinePunct/>
        <w:autoSpaceDE w:val="0"/>
        <w:autoSpaceDN/>
        <w:bidi w:val="0"/>
        <w:adjustRightInd/>
        <w:snapToGrid/>
        <w:spacing w:line="180" w:lineRule="exact"/>
        <w:ind w:left="0" w:firstLine="0"/>
        <w:jc w:val="both"/>
        <w:textAlignment w:val="auto"/>
        <w:rPr>
          <w:color w:val="000000"/>
          <w:sz w:val="12"/>
          <w:szCs w:val="12"/>
        </w:rPr>
        <w:sectPr>
          <w:type w:val="continuous"/>
          <w:pgSz w:w="11906" w:h="16838"/>
          <w:pgMar w:top="1440" w:right="1800" w:bottom="1440" w:left="1800" w:header="851" w:footer="992" w:gutter="0"/>
          <w:cols w:equalWidth="0" w:num="2">
            <w:col w:w="3940" w:space="425"/>
            <w:col w:w="3940"/>
          </w:cols>
          <w:docGrid w:type="lines" w:linePitch="312" w:charSpace="0"/>
        </w:sectPr>
      </w:pPr>
    </w:p>
    <w:p w14:paraId="47A766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jc w:val="left"/>
        <w:rPr>
          <w:rFonts w:hint="eastAsia" w:eastAsia="宋体"/>
          <w:color w:val="000000"/>
          <w:sz w:val="12"/>
          <w:szCs w:val="12"/>
          <w:lang w:eastAsia="zh-CN"/>
        </w:rPr>
      </w:pPr>
      <w:r>
        <w:rPr>
          <w:color w:val="000000"/>
          <w:sz w:val="12"/>
          <w:szCs w:val="12"/>
        </w:rPr>
        <w:drawing>
          <wp:inline distT="0" distB="0" distL="114300" distR="114300">
            <wp:extent cx="781050" cy="781050"/>
            <wp:effectExtent l="0" t="0" r="0" b="0"/>
            <wp:docPr id="5" name="图片 5" descr="微信图片_20260408224821_6255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60408224821_6255_3"/>
                    <pic:cNvPicPr>
                      <a:picLocks noChangeAspect="1"/>
                    </pic:cNvPicPr>
                  </pic:nvPicPr>
                  <pic:blipFill>
                    <a:blip r:embed="rId7"/>
                    <a:stretch>
                      <a:fillRect/>
                    </a:stretch>
                  </pic:blipFill>
                  <pic:spPr>
                    <a:xfrm>
                      <a:off x="0" y="0"/>
                      <a:ext cx="781050" cy="781050"/>
                    </a:xfrm>
                    <a:prstGeom prst="rect">
                      <a:avLst/>
                    </a:prstGeom>
                  </pic:spPr>
                </pic:pic>
              </a:graphicData>
            </a:graphic>
          </wp:inline>
        </w:drawing>
      </w:r>
      <w:r>
        <w:rPr>
          <w:rFonts w:ascii="Arial"/>
          <w:color w:val="BF5A14"/>
        </w:rPr>
        <w:t>Biography</w:t>
      </w:r>
    </w:p>
    <w:p w14:paraId="7AC1AD35">
      <w:pPr>
        <w:spacing w:before="41" w:line="154" w:lineRule="exact"/>
        <w:ind w:left="213" w:right="231"/>
        <w:jc w:val="both"/>
        <w:rPr>
          <w:rFonts w:ascii="Arial" w:hAnsi="Tw Cen MT" w:eastAsia="Tw Cen MT" w:cs="Tw Cen MT"/>
          <w:kern w:val="0"/>
          <w:sz w:val="14"/>
          <w:szCs w:val="22"/>
          <w:lang w:eastAsia="en-US"/>
        </w:rPr>
      </w:pPr>
      <w:r>
        <w:rPr>
          <w:rFonts w:ascii="Arial" w:hAnsi="Tw Cen MT" w:eastAsia="Tw Cen MT" w:cs="Tw Cen MT"/>
          <w:kern w:val="0"/>
          <w:sz w:val="14"/>
          <w:szCs w:val="22"/>
          <w:lang w:val="en-US" w:eastAsia="zh-CN"/>
        </w:rPr>
        <w:t>Dr. Ning Wu specializes in obstetrics and gynecology, with clinical expertise in gynecologic oncology, gestational trophoblastic disease, high-risk pregnancy, and minimally invasive gynecologic surgery. She focuses on the diagnosis and treatment of ectopic pregnancy, hydatidiform mole, and complex gynecologic conditions. She is committed to improving the accuracy of clinical diagnosis and standardized management of rare obstetric and gynecologic diseases, and has accumulated rich experience in clinical practice and case research.</w:t>
      </w:r>
    </w:p>
    <w:p w14:paraId="30A0F3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jc w:val="left"/>
        <w:rPr>
          <w:color w:val="000000"/>
          <w:sz w:val="12"/>
          <w:szCs w:val="12"/>
        </w:rPr>
      </w:pPr>
      <w:r>
        <w:rPr>
          <w:rStyle w:val="8"/>
          <w:rFonts w:ascii="宋体" w:hAnsi="宋体" w:eastAsia="宋体" w:cs="宋体"/>
          <w:b/>
          <w:bCs/>
          <w:color w:val="000000"/>
          <w:kern w:val="0"/>
          <w:sz w:val="12"/>
          <w:szCs w:val="12"/>
          <w:lang w:val="en-US" w:eastAsia="zh-CN" w:bidi="ar"/>
        </w:rPr>
        <w:t>Email: 659830581@qq.com</w:t>
      </w:r>
    </w:p>
    <w:p w14:paraId="600B9238"/>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ion Pro">
    <w:altName w:val="Cambria Math"/>
    <w:panose1 w:val="00000000000000000000"/>
    <w:charset w:val="00"/>
    <w:family w:val="roman"/>
    <w:pitch w:val="default"/>
    <w:sig w:usb0="00000000" w:usb1="00000000" w:usb2="00000000" w:usb3="00000000" w:csb0="0000019F" w:csb1="00000000"/>
  </w:font>
  <w:font w:name="Cambria Math">
    <w:panose1 w:val="02040503050406030204"/>
    <w:charset w:val="00"/>
    <w:family w:val="auto"/>
    <w:pitch w:val="default"/>
    <w:sig w:usb0="E00006FF" w:usb1="420024FF" w:usb2="02000000" w:usb3="00000000" w:csb0="2000019F" w:csb1="00000000"/>
  </w:font>
  <w:font w:name="Tw Cen MT">
    <w:panose1 w:val="020B0602020104020603"/>
    <w:charset w:val="00"/>
    <w:family w:val="swiss"/>
    <w:pitch w:val="default"/>
    <w:sig w:usb0="00000003" w:usb1="00000000" w:usb2="00000000" w:usb3="00000000" w:csb0="2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A80F48"/>
    <w:multiLevelType w:val="singleLevel"/>
    <w:tmpl w:val="A7A80F48"/>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4C1156"/>
    <w:rsid w:val="011253ED"/>
    <w:rsid w:val="04BF7460"/>
    <w:rsid w:val="0B921962"/>
    <w:rsid w:val="1F7D6A1F"/>
    <w:rsid w:val="254C1156"/>
    <w:rsid w:val="4F322E80"/>
    <w:rsid w:val="583152CE"/>
    <w:rsid w:val="7B4735CF"/>
    <w:rsid w:val="7BF46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sz w:val="18"/>
      <w:szCs w:val="18"/>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568</Words>
  <Characters>3766</Characters>
  <Lines>0</Lines>
  <Paragraphs>0</Paragraphs>
  <TotalTime>2</TotalTime>
  <ScaleCrop>false</ScaleCrop>
  <LinksUpToDate>false</LinksUpToDate>
  <CharactersWithSpaces>4331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2026-04-08T14:29:00Z</dcterms:created>
  <dc:creator>吴宁</dc:creator>
  <cp:lastModifiedBy>吴宁</cp:lastModifiedBy>
  <dcterms:modified xsi:type="dcterms:W3CDTF">2026-04-08T16:20:18Z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B98A6D1C7CFC4F9A94BEB4A5C1A83B3A_13</vt:lpwstr>
  </property>
  <property fmtid="{D5CDD505-2E9C-101B-9397-08002B2CF9AE}" pid="4" name="KSOTemplateDocerSaveRecord">
    <vt:lpwstr>eyJoZGlkIjoiZTA4NzIyN2MxYTlmMzQ1NGE2MjU5NWRkMjhlOGMxYTAiLCJ1c2VySWQiOiIyNjAyNTA4MzQifQ==</vt:lpwstr>
  </property>
</Properties>
</file>