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7CA7A" w14:textId="28807E24" w:rsidR="00236744" w:rsidRDefault="00236744" w:rsidP="00236744">
      <w:pPr>
        <w:pStyle w:val="Titre1"/>
      </w:pPr>
      <w:r w:rsidRPr="00236744">
        <w:t xml:space="preserve">Predictive factors for morcellation during total laparoscopic hysterectomy: a cohort study </w:t>
      </w:r>
    </w:p>
    <w:p w14:paraId="6300A2C7" w14:textId="3CC2B233" w:rsidR="00F02523" w:rsidRPr="00F02523" w:rsidRDefault="00F02523" w:rsidP="00F02523">
      <w:pPr>
        <w:rPr>
          <w:sz w:val="20"/>
          <w:szCs w:val="20"/>
          <w:lang w:val="fr-CA" w:eastAsia="en-US"/>
        </w:rPr>
      </w:pPr>
      <w:r w:rsidRPr="00F02523">
        <w:rPr>
          <w:sz w:val="20"/>
          <w:szCs w:val="20"/>
          <w:lang w:val="fr-CA" w:eastAsia="en-US"/>
        </w:rPr>
        <w:t>Catherine Bergeron, MD-</w:t>
      </w:r>
      <w:proofErr w:type="spellStart"/>
      <w:r w:rsidRPr="00F02523">
        <w:rPr>
          <w:sz w:val="20"/>
          <w:szCs w:val="20"/>
          <w:lang w:val="fr-CA" w:eastAsia="en-US"/>
        </w:rPr>
        <w:t>MSc</w:t>
      </w:r>
      <w:proofErr w:type="spellEnd"/>
      <w:r w:rsidRPr="00F02523">
        <w:rPr>
          <w:sz w:val="20"/>
          <w:szCs w:val="20"/>
          <w:lang w:val="fr-CA" w:eastAsia="en-US"/>
        </w:rPr>
        <w:t xml:space="preserve">, Sarah Labrosse, MD, Philippe Y. Laberge, MD, FRCSC, Madeleine </w:t>
      </w:r>
      <w:proofErr w:type="spellStart"/>
      <w:r w:rsidRPr="00F02523">
        <w:rPr>
          <w:sz w:val="20"/>
          <w:szCs w:val="20"/>
          <w:lang w:val="fr-CA" w:eastAsia="en-US"/>
        </w:rPr>
        <w:t>Lemyre</w:t>
      </w:r>
      <w:proofErr w:type="spellEnd"/>
      <w:r w:rsidRPr="00F02523">
        <w:rPr>
          <w:sz w:val="20"/>
          <w:szCs w:val="20"/>
          <w:lang w:val="fr-CA" w:eastAsia="en-US"/>
        </w:rPr>
        <w:t xml:space="preserve">, MD, FRCSC, Sarah </w:t>
      </w:r>
      <w:proofErr w:type="spellStart"/>
      <w:r w:rsidRPr="00F02523">
        <w:rPr>
          <w:sz w:val="20"/>
          <w:szCs w:val="20"/>
          <w:lang w:val="fr-CA" w:eastAsia="en-US"/>
        </w:rPr>
        <w:t>Maheux</w:t>
      </w:r>
      <w:proofErr w:type="spellEnd"/>
      <w:r w:rsidRPr="00F02523">
        <w:rPr>
          <w:sz w:val="20"/>
          <w:szCs w:val="20"/>
          <w:lang w:val="fr-CA" w:eastAsia="en-US"/>
        </w:rPr>
        <w:t>-Lacroix, MD-PhD, FRCSC</w:t>
      </w:r>
    </w:p>
    <w:p w14:paraId="600403A8" w14:textId="647403A4" w:rsidR="00A90656" w:rsidRPr="00F02523" w:rsidRDefault="006F58D1" w:rsidP="00A90656">
      <w:pPr>
        <w:rPr>
          <w:rFonts w:eastAsia="Helvetica Neue"/>
          <w:lang w:val="fr-CA" w:eastAsia="en-US"/>
        </w:rPr>
      </w:pPr>
      <w:r w:rsidRPr="00A90656">
        <w:rPr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2322CCB4" wp14:editId="4D50DC9F">
            <wp:simplePos x="0" y="0"/>
            <wp:positionH relativeFrom="column">
              <wp:posOffset>2895600</wp:posOffset>
            </wp:positionH>
            <wp:positionV relativeFrom="paragraph">
              <wp:posOffset>104140</wp:posOffset>
            </wp:positionV>
            <wp:extent cx="3230880" cy="2209800"/>
            <wp:effectExtent l="0" t="0" r="0" b="0"/>
            <wp:wrapThrough wrapText="bothSides">
              <wp:wrapPolygon edited="0">
                <wp:start x="0" y="0"/>
                <wp:lineTo x="0" y="21476"/>
                <wp:lineTo x="21481" y="21476"/>
                <wp:lineTo x="21481" y="0"/>
                <wp:lineTo x="0" y="0"/>
              </wp:wrapPolygon>
            </wp:wrapThrough>
            <wp:docPr id="5" name="Espace réservé du contenu 4">
              <a:extLst xmlns:a="http://schemas.openxmlformats.org/drawingml/2006/main">
                <a:ext uri="{FF2B5EF4-FFF2-40B4-BE49-F238E27FC236}">
                  <a16:creationId xmlns:a16="http://schemas.microsoft.com/office/drawing/2014/main" id="{A0DD4978-13D7-F141-B980-33674ED08B07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pace réservé du contenu 4">
                      <a:extLst>
                        <a:ext uri="{FF2B5EF4-FFF2-40B4-BE49-F238E27FC236}">
                          <a16:creationId xmlns:a16="http://schemas.microsoft.com/office/drawing/2014/main" id="{A0DD4978-13D7-F141-B980-33674ED08B07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088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1B2381" w14:textId="0CDD1613" w:rsidR="00236744" w:rsidRPr="00236744" w:rsidRDefault="00236744" w:rsidP="00236744">
      <w:pPr>
        <w:jc w:val="both"/>
        <w:rPr>
          <w:sz w:val="22"/>
          <w:szCs w:val="22"/>
          <w:lang w:eastAsia="en-US"/>
        </w:rPr>
      </w:pPr>
      <w:r w:rsidRPr="00236744">
        <w:rPr>
          <w:b/>
          <w:bCs/>
          <w:sz w:val="22"/>
          <w:szCs w:val="22"/>
          <w:lang w:eastAsia="en-US"/>
        </w:rPr>
        <w:t>OBJECTIVE:</w:t>
      </w:r>
      <w:r w:rsidRPr="00236744">
        <w:rPr>
          <w:sz w:val="22"/>
          <w:szCs w:val="22"/>
          <w:lang w:eastAsia="en-US"/>
        </w:rPr>
        <w:t xml:space="preserve"> Our objective was to identify predictors of morcellation during total laparoscopic hysterectomy (TLH)</w:t>
      </w:r>
      <w:r w:rsidRPr="00236744">
        <w:rPr>
          <w:sz w:val="22"/>
          <w:szCs w:val="22"/>
          <w:lang w:eastAsia="en-US"/>
        </w:rPr>
        <w:t xml:space="preserve">. </w:t>
      </w:r>
    </w:p>
    <w:p w14:paraId="449BDA90" w14:textId="3478B294" w:rsidR="00236744" w:rsidRPr="00236744" w:rsidRDefault="00236744" w:rsidP="00236744">
      <w:pPr>
        <w:jc w:val="both"/>
        <w:rPr>
          <w:sz w:val="22"/>
          <w:szCs w:val="22"/>
          <w:lang w:eastAsia="en-US"/>
        </w:rPr>
      </w:pPr>
      <w:r w:rsidRPr="00236744">
        <w:rPr>
          <w:b/>
          <w:bCs/>
          <w:sz w:val="22"/>
          <w:szCs w:val="22"/>
          <w:lang w:eastAsia="en-US"/>
        </w:rPr>
        <w:t>DESIGN:</w:t>
      </w:r>
      <w:r w:rsidRPr="00236744">
        <w:rPr>
          <w:sz w:val="22"/>
          <w:szCs w:val="22"/>
          <w:lang w:eastAsia="en-US"/>
        </w:rPr>
        <w:t xml:space="preserve"> Retrospective cohort study (Canadian Task Force </w:t>
      </w:r>
      <w:proofErr w:type="gramStart"/>
      <w:r w:rsidRPr="00236744">
        <w:rPr>
          <w:sz w:val="22"/>
          <w:szCs w:val="22"/>
          <w:lang w:eastAsia="en-US"/>
        </w:rPr>
        <w:t>classification II-2</w:t>
      </w:r>
      <w:proofErr w:type="gramEnd"/>
      <w:r w:rsidRPr="00236744">
        <w:rPr>
          <w:sz w:val="22"/>
          <w:szCs w:val="22"/>
          <w:lang w:eastAsia="en-US"/>
        </w:rPr>
        <w:t>)</w:t>
      </w:r>
    </w:p>
    <w:p w14:paraId="2A1C99A2" w14:textId="15E456C4" w:rsidR="00236744" w:rsidRPr="00236744" w:rsidRDefault="00236744" w:rsidP="00236744">
      <w:pPr>
        <w:jc w:val="both"/>
        <w:rPr>
          <w:sz w:val="22"/>
          <w:szCs w:val="22"/>
          <w:lang w:eastAsia="en-US"/>
        </w:rPr>
      </w:pPr>
      <w:r w:rsidRPr="00236744">
        <w:rPr>
          <w:b/>
          <w:bCs/>
          <w:sz w:val="22"/>
          <w:szCs w:val="22"/>
          <w:lang w:eastAsia="en-US"/>
        </w:rPr>
        <w:t>SETTING:</w:t>
      </w:r>
      <w:r w:rsidRPr="00236744">
        <w:rPr>
          <w:sz w:val="22"/>
          <w:szCs w:val="22"/>
          <w:lang w:eastAsia="en-US"/>
        </w:rPr>
        <w:t xml:space="preserve"> University Hospital Center in</w:t>
      </w:r>
      <w:r w:rsidR="00840106">
        <w:rPr>
          <w:sz w:val="22"/>
          <w:szCs w:val="22"/>
          <w:lang w:eastAsia="en-US"/>
        </w:rPr>
        <w:t xml:space="preserve"> Quebec, Canada.</w:t>
      </w:r>
    </w:p>
    <w:p w14:paraId="263EB518" w14:textId="4C4F5ABF" w:rsidR="00236744" w:rsidRPr="00236744" w:rsidRDefault="00236744" w:rsidP="00236744">
      <w:pPr>
        <w:jc w:val="both"/>
        <w:rPr>
          <w:sz w:val="22"/>
          <w:szCs w:val="22"/>
          <w:lang w:eastAsia="en-US"/>
        </w:rPr>
      </w:pPr>
      <w:r w:rsidRPr="00236744">
        <w:rPr>
          <w:b/>
          <w:bCs/>
          <w:sz w:val="22"/>
          <w:szCs w:val="22"/>
          <w:lang w:eastAsia="en-US"/>
        </w:rPr>
        <w:t>PARTICIPANTS:</w:t>
      </w:r>
      <w:r w:rsidRPr="00236744">
        <w:rPr>
          <w:sz w:val="22"/>
          <w:szCs w:val="22"/>
          <w:lang w:eastAsia="en-US"/>
        </w:rPr>
        <w:t xml:space="preserve"> Women undergoing a TLH for a benign gynecologic pathology form January 1st</w:t>
      </w:r>
      <w:proofErr w:type="gramStart"/>
      <w:r w:rsidRPr="00236744">
        <w:rPr>
          <w:sz w:val="22"/>
          <w:szCs w:val="22"/>
          <w:lang w:eastAsia="en-US"/>
        </w:rPr>
        <w:t xml:space="preserve"> 2017</w:t>
      </w:r>
      <w:proofErr w:type="gramEnd"/>
      <w:r w:rsidRPr="00236744">
        <w:rPr>
          <w:sz w:val="22"/>
          <w:szCs w:val="22"/>
          <w:lang w:eastAsia="en-US"/>
        </w:rPr>
        <w:t xml:space="preserve"> to January 31th 2019</w:t>
      </w:r>
    </w:p>
    <w:p w14:paraId="4EB61A02" w14:textId="7143D5F3" w:rsidR="00236744" w:rsidRPr="00236744" w:rsidRDefault="00236744" w:rsidP="00236744">
      <w:pPr>
        <w:jc w:val="both"/>
        <w:rPr>
          <w:sz w:val="22"/>
          <w:szCs w:val="22"/>
          <w:lang w:eastAsia="en-US"/>
        </w:rPr>
      </w:pPr>
      <w:r w:rsidRPr="00236744">
        <w:rPr>
          <w:b/>
          <w:bCs/>
          <w:sz w:val="22"/>
          <w:szCs w:val="22"/>
          <w:lang w:eastAsia="en-US"/>
        </w:rPr>
        <w:t>INTERVENTION:</w:t>
      </w:r>
      <w:r w:rsidRPr="00236744">
        <w:rPr>
          <w:sz w:val="22"/>
          <w:szCs w:val="22"/>
          <w:lang w:eastAsia="en-US"/>
        </w:rPr>
        <w:t xml:space="preserve"> All women underwent a TLH. If the uterus was </w:t>
      </w:r>
      <w:proofErr w:type="gramStart"/>
      <w:r w:rsidRPr="00236744">
        <w:rPr>
          <w:sz w:val="22"/>
          <w:szCs w:val="22"/>
          <w:lang w:eastAsia="en-US"/>
        </w:rPr>
        <w:t>to</w:t>
      </w:r>
      <w:proofErr w:type="gramEnd"/>
      <w:r w:rsidRPr="00236744">
        <w:rPr>
          <w:sz w:val="22"/>
          <w:szCs w:val="22"/>
          <w:lang w:eastAsia="en-US"/>
        </w:rPr>
        <w:t xml:space="preserve"> voluminous to be removed vaginally, surgeons favored in-bag morcellation by laparoscopy. Uterine weight and characteristics were assessed prior to surgery by ultrasound or MRI </w:t>
      </w:r>
      <w:proofErr w:type="gramStart"/>
      <w:r w:rsidRPr="00236744">
        <w:rPr>
          <w:sz w:val="22"/>
          <w:szCs w:val="22"/>
          <w:lang w:eastAsia="en-US"/>
        </w:rPr>
        <w:t>in order to</w:t>
      </w:r>
      <w:proofErr w:type="gramEnd"/>
      <w:r w:rsidRPr="00236744">
        <w:rPr>
          <w:sz w:val="22"/>
          <w:szCs w:val="22"/>
          <w:lang w:eastAsia="en-US"/>
        </w:rPr>
        <w:t xml:space="preserve"> predict morcellation.</w:t>
      </w:r>
    </w:p>
    <w:p w14:paraId="3B1092B9" w14:textId="64F5A4B2" w:rsidR="00236744" w:rsidRPr="00236744" w:rsidRDefault="00236744" w:rsidP="00236744">
      <w:pPr>
        <w:jc w:val="both"/>
        <w:rPr>
          <w:sz w:val="22"/>
          <w:szCs w:val="22"/>
          <w:lang w:eastAsia="en-US"/>
        </w:rPr>
      </w:pPr>
      <w:r w:rsidRPr="00236744">
        <w:rPr>
          <w:b/>
          <w:bCs/>
          <w:sz w:val="22"/>
          <w:szCs w:val="22"/>
          <w:lang w:eastAsia="en-US"/>
        </w:rPr>
        <w:t>MAIN RESULTS:</w:t>
      </w:r>
      <w:r w:rsidRPr="00236744">
        <w:rPr>
          <w:sz w:val="22"/>
          <w:szCs w:val="22"/>
          <w:lang w:eastAsia="en-US"/>
        </w:rPr>
        <w:t xml:space="preserve"> A total of 252 women underwent a TLH and the mean age was 46</w:t>
      </w:r>
      <m:oMath>
        <m:r>
          <w:rPr>
            <w:rFonts w:ascii="Cambria Math" w:hAnsi="Cambria Math"/>
            <w:sz w:val="22"/>
            <w:szCs w:val="22"/>
            <w:lang w:eastAsia="en-US"/>
          </w:rPr>
          <m:t>±</m:t>
        </m:r>
      </m:oMath>
      <w:r w:rsidRPr="00236744">
        <w:rPr>
          <w:sz w:val="22"/>
          <w:szCs w:val="22"/>
          <w:lang w:eastAsia="en-US"/>
        </w:rPr>
        <w:t>7 (30–71) years old. The main indications for surgery were abnormal uterine bleeding (77%), chronic pelvic pain (36%) and bulk symptoms (25%). Mean uterine weight was 325 (17-1572)</w:t>
      </w:r>
      <m:oMath>
        <m:r>
          <w:rPr>
            <w:rFonts w:ascii="Cambria Math" w:hAnsi="Cambria Math"/>
            <w:sz w:val="22"/>
            <w:szCs w:val="22"/>
            <w:lang w:eastAsia="en-US"/>
          </w:rPr>
          <m:t>±</m:t>
        </m:r>
      </m:oMath>
      <w:r w:rsidRPr="00236744">
        <w:rPr>
          <w:sz w:val="22"/>
          <w:szCs w:val="22"/>
          <w:lang w:eastAsia="en-US"/>
        </w:rPr>
        <w:t>272 grams, w</w:t>
      </w:r>
      <w:proofErr w:type="spellStart"/>
      <w:r w:rsidRPr="00236744">
        <w:rPr>
          <w:sz w:val="22"/>
          <w:szCs w:val="22"/>
          <w:lang w:eastAsia="en-US"/>
        </w:rPr>
        <w:t>ith</w:t>
      </w:r>
      <w:proofErr w:type="spellEnd"/>
      <w:r w:rsidRPr="00236744">
        <w:rPr>
          <w:sz w:val="22"/>
          <w:szCs w:val="22"/>
          <w:lang w:eastAsia="en-US"/>
        </w:rPr>
        <w:t xml:space="preserve"> 11/252 (4%) uterus being &gt;1000 grams and 71% of women had at least one leiomyoma. Among women with a uterine weight &lt;250 grams, 120 (95%) did not require morcellation. On the opposite, among women with a uterine weight &gt;500 grams, 49 (100%) required morcellation. In addition to the estimated uterine weight (≥ 250 versus &lt;250 grams; OR 3.7 (CI 1.8-7.7, P&lt;0.01), having ≥ 1 leiomyoma (OR 4.1, CI 1.0-16.0, P=0.01) and a leiomyoma of ≥ 5 cm (OR 8.6, CI 4.1-17.9, P&lt;0.01) </w:t>
      </w:r>
      <w:r w:rsidR="00F02523" w:rsidRPr="00F02523">
        <w:rPr>
          <w:sz w:val="22"/>
          <w:szCs w:val="22"/>
          <w:lang w:val="en-US" w:eastAsia="en-US"/>
        </w:rPr>
        <w:t xml:space="preserve">Catherine Bergeron, MD-MSc, Sarah Labrosse, MD, Philippe Y. Laberge, MD, FRCSC, Madeleine </w:t>
      </w:r>
      <w:proofErr w:type="spellStart"/>
      <w:r w:rsidR="00F02523" w:rsidRPr="00F02523">
        <w:rPr>
          <w:sz w:val="22"/>
          <w:szCs w:val="22"/>
          <w:lang w:val="en-US" w:eastAsia="en-US"/>
        </w:rPr>
        <w:t>Lemyre</w:t>
      </w:r>
      <w:proofErr w:type="spellEnd"/>
      <w:r w:rsidR="00F02523" w:rsidRPr="00F02523">
        <w:rPr>
          <w:sz w:val="22"/>
          <w:szCs w:val="22"/>
          <w:lang w:val="en-US" w:eastAsia="en-US"/>
        </w:rPr>
        <w:t xml:space="preserve">, MD, FRCSC, Sarah </w:t>
      </w:r>
      <w:proofErr w:type="spellStart"/>
      <w:r w:rsidR="00F02523" w:rsidRPr="00F02523">
        <w:rPr>
          <w:sz w:val="22"/>
          <w:szCs w:val="22"/>
          <w:lang w:val="en-US" w:eastAsia="en-US"/>
        </w:rPr>
        <w:t>Maheux</w:t>
      </w:r>
      <w:proofErr w:type="spellEnd"/>
      <w:r w:rsidR="00F02523" w:rsidRPr="00F02523">
        <w:rPr>
          <w:sz w:val="22"/>
          <w:szCs w:val="22"/>
          <w:lang w:val="en-US" w:eastAsia="en-US"/>
        </w:rPr>
        <w:t>-Lacroix, MD-PhD, FRCSC</w:t>
      </w:r>
      <w:r w:rsidR="00F02523" w:rsidRPr="00F02523">
        <w:rPr>
          <w:sz w:val="22"/>
          <w:szCs w:val="22"/>
          <w:lang w:eastAsia="en-US"/>
        </w:rPr>
        <w:t xml:space="preserve"> </w:t>
      </w:r>
      <w:r w:rsidRPr="00236744">
        <w:rPr>
          <w:sz w:val="22"/>
          <w:szCs w:val="22"/>
          <w:lang w:eastAsia="en-US"/>
        </w:rPr>
        <w:t xml:space="preserve">were other significant predictors morcellation in multivariate logistic regression analysis. </w:t>
      </w:r>
    </w:p>
    <w:p w14:paraId="05D98E70" w14:textId="3C284FA8" w:rsidR="00236744" w:rsidRPr="00236744" w:rsidRDefault="00236744" w:rsidP="00236744">
      <w:pPr>
        <w:rPr>
          <w:sz w:val="22"/>
          <w:szCs w:val="22"/>
          <w:lang w:eastAsia="en-US"/>
        </w:rPr>
      </w:pPr>
      <w:r w:rsidRPr="00236744">
        <w:rPr>
          <w:b/>
          <w:bCs/>
          <w:sz w:val="22"/>
          <w:szCs w:val="22"/>
          <w:lang w:eastAsia="en-US"/>
        </w:rPr>
        <w:t>CONCLUSION:</w:t>
      </w:r>
      <w:r w:rsidRPr="00236744">
        <w:rPr>
          <w:sz w:val="22"/>
          <w:szCs w:val="22"/>
          <w:lang w:eastAsia="en-US"/>
        </w:rPr>
        <w:t xml:space="preserve">  Uterine weight estimated by preoperative imaging as well as the size and number of leiomyomas are useful predictors of the need for morcellation.</w:t>
      </w:r>
    </w:p>
    <w:p w14:paraId="7EF40E9D" w14:textId="5D776CB8" w:rsidR="00236744" w:rsidRPr="00236744" w:rsidRDefault="00236744" w:rsidP="00236744">
      <w:pPr>
        <w:rPr>
          <w:sz w:val="22"/>
          <w:szCs w:val="22"/>
          <w:lang w:eastAsia="en-US"/>
        </w:rPr>
      </w:pPr>
      <w:r w:rsidRPr="00236744">
        <w:rPr>
          <w:b/>
          <w:sz w:val="22"/>
          <w:szCs w:val="22"/>
        </w:rPr>
        <w:t xml:space="preserve">KEYWRODS: </w:t>
      </w:r>
      <w:r w:rsidRPr="00236744">
        <w:rPr>
          <w:rFonts w:eastAsia="Arial"/>
          <w:sz w:val="22"/>
          <w:szCs w:val="22"/>
        </w:rPr>
        <w:t>hysterectomy, laparoscopy, morcellation, predictive factors</w:t>
      </w:r>
    </w:p>
    <w:p w14:paraId="5B04D912" w14:textId="05563939" w:rsidR="008B3CBF" w:rsidRDefault="006F58D1">
      <w:pPr>
        <w:rPr>
          <w:sz w:val="22"/>
          <w:szCs w:val="22"/>
        </w:rPr>
      </w:pPr>
      <w:r>
        <w:rPr>
          <w:b/>
          <w:bCs/>
          <w:noProof/>
          <w:sz w:val="2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EA9CBC" wp14:editId="4F01FD24">
                <wp:simplePos x="0" y="0"/>
                <wp:positionH relativeFrom="column">
                  <wp:posOffset>2372360</wp:posOffset>
                </wp:positionH>
                <wp:positionV relativeFrom="paragraph">
                  <wp:posOffset>120015</wp:posOffset>
                </wp:positionV>
                <wp:extent cx="4003040" cy="3312160"/>
                <wp:effectExtent l="0" t="0" r="0" b="2540"/>
                <wp:wrapNone/>
                <wp:docPr id="118312843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3040" cy="33121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867CE9" w14:textId="6020F83B" w:rsidR="006C1547" w:rsidRPr="006C1547" w:rsidRDefault="006C1547" w:rsidP="006C1547">
                            <w:pPr>
                              <w:ind w:left="720" w:hanging="360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C154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Recent publication: </w:t>
                            </w:r>
                          </w:p>
                          <w:p w14:paraId="051E1FBE" w14:textId="77777777" w:rsidR="006C1547" w:rsidRPr="006C1547" w:rsidRDefault="006C1547" w:rsidP="006C1547">
                            <w:pPr>
                              <w:ind w:left="720" w:hanging="36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C93ADC9" w14:textId="4F6520F4" w:rsidR="006C1547" w:rsidRPr="006C1547" w:rsidRDefault="006C1547" w:rsidP="006C1547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C1547">
                              <w:rPr>
                                <w:sz w:val="16"/>
                                <w:szCs w:val="16"/>
                              </w:rPr>
                              <w:t>Murji</w:t>
                            </w:r>
                            <w:proofErr w:type="spellEnd"/>
                            <w:r w:rsidRPr="006C1547">
                              <w:rPr>
                                <w:sz w:val="16"/>
                                <w:szCs w:val="16"/>
                              </w:rPr>
                              <w:t xml:space="preserve">, A., et al., No. 371-Morcellation During Gynaecologic Surgery: Its Uses, Complications, and Risks of Unsuspected Malignancy. J </w:t>
                            </w:r>
                            <w:proofErr w:type="spellStart"/>
                            <w:r w:rsidRPr="006C1547">
                              <w:rPr>
                                <w:sz w:val="16"/>
                                <w:szCs w:val="16"/>
                              </w:rPr>
                              <w:t>Obstet</w:t>
                            </w:r>
                            <w:proofErr w:type="spellEnd"/>
                            <w:r w:rsidRPr="006C154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6C1547">
                              <w:rPr>
                                <w:sz w:val="16"/>
                                <w:szCs w:val="16"/>
                              </w:rPr>
                              <w:t>Gynaecol</w:t>
                            </w:r>
                            <w:proofErr w:type="spellEnd"/>
                            <w:r w:rsidRPr="006C1547">
                              <w:rPr>
                                <w:sz w:val="16"/>
                                <w:szCs w:val="16"/>
                              </w:rPr>
                              <w:t xml:space="preserve"> Can, 2019. 41(1): p. 116-126.</w:t>
                            </w:r>
                          </w:p>
                          <w:p w14:paraId="53E1BF47" w14:textId="77777777" w:rsidR="006C1547" w:rsidRPr="006C1547" w:rsidRDefault="006C1547" w:rsidP="006C1547">
                            <w:pPr>
                              <w:pStyle w:val="EndNoteBibliography"/>
                              <w:numPr>
                                <w:ilvl w:val="0"/>
                                <w:numId w:val="2"/>
                              </w:numPr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Tulandi, T., A. Leung, and N. Jan, </w:t>
                            </w:r>
                            <w:r w:rsidRPr="006C1547">
                              <w:rPr>
                                <w:i/>
                                <w:noProof/>
                                <w:sz w:val="16"/>
                                <w:szCs w:val="16"/>
                              </w:rPr>
                              <w:t>Nonmalignant Sequelae of Unconfined Morcellation at Laparoscopic Hysterectomy or Myomectomy.</w:t>
                            </w: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J Minim Invasive Gynecol, 2016. </w:t>
                            </w:r>
                            <w:r w:rsidRPr="006C1547">
                              <w:rPr>
                                <w:b/>
                                <w:noProof/>
                                <w:sz w:val="16"/>
                                <w:szCs w:val="16"/>
                              </w:rPr>
                              <w:t>23</w:t>
                            </w: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>(3): p. 331-7.</w:t>
                            </w:r>
                          </w:p>
                          <w:p w14:paraId="4F0A1E0D" w14:textId="77777777" w:rsidR="006C1547" w:rsidRPr="006C1547" w:rsidRDefault="006C1547" w:rsidP="006C1547">
                            <w:pPr>
                              <w:pStyle w:val="EndNoteBibliography"/>
                              <w:numPr>
                                <w:ilvl w:val="0"/>
                                <w:numId w:val="2"/>
                              </w:numPr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Gil-Gimeno, A., et al., </w:t>
                            </w:r>
                            <w:r w:rsidRPr="006C1547">
                              <w:rPr>
                                <w:i/>
                                <w:noProof/>
                                <w:sz w:val="16"/>
                                <w:szCs w:val="16"/>
                              </w:rPr>
                              <w:t>Morcellation During Total Laparoscopic Hysterectomies: Implications of the Use of a Contained Bag System.</w:t>
                            </w: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J Obstet Gynaecol Can, 2020. </w:t>
                            </w:r>
                            <w:r w:rsidRPr="006C1547">
                              <w:rPr>
                                <w:b/>
                                <w:noProof/>
                                <w:sz w:val="16"/>
                                <w:szCs w:val="16"/>
                              </w:rPr>
                              <w:t>42</w:t>
                            </w: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>(7): p. 839-845.</w:t>
                            </w:r>
                          </w:p>
                          <w:p w14:paraId="522FC166" w14:textId="77777777" w:rsidR="006C1547" w:rsidRPr="006C1547" w:rsidRDefault="006C1547" w:rsidP="006C1547">
                            <w:pPr>
                              <w:pStyle w:val="EndNoteBibliography"/>
                              <w:numPr>
                                <w:ilvl w:val="0"/>
                                <w:numId w:val="2"/>
                              </w:numPr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>7.</w:t>
                            </w: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ab/>
                              <w:t xml:space="preserve">Harb, T.S. and R.A. Adam, </w:t>
                            </w:r>
                            <w:r w:rsidRPr="006C1547">
                              <w:rPr>
                                <w:i/>
                                <w:noProof/>
                                <w:sz w:val="16"/>
                                <w:szCs w:val="16"/>
                              </w:rPr>
                              <w:t>Predicting uterine weight before hysterectomy: ultrasound measurements versus clinical assessment.</w:t>
                            </w: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Am J Obstet Gynecol, 2005. </w:t>
                            </w:r>
                            <w:r w:rsidRPr="006C1547">
                              <w:rPr>
                                <w:b/>
                                <w:noProof/>
                                <w:sz w:val="16"/>
                                <w:szCs w:val="16"/>
                              </w:rPr>
                              <w:t>193</w:t>
                            </w: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>(6): p. 2122-5.</w:t>
                            </w:r>
                          </w:p>
                          <w:p w14:paraId="0D1B3662" w14:textId="69B4BC2D" w:rsidR="006C1547" w:rsidRPr="006C1547" w:rsidRDefault="006C1547" w:rsidP="006C1547">
                            <w:pPr>
                              <w:pStyle w:val="EndNoteBibliography"/>
                              <w:numPr>
                                <w:ilvl w:val="0"/>
                                <w:numId w:val="2"/>
                              </w:numPr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Wolfe, M., et al., </w:t>
                            </w:r>
                            <w:r w:rsidRPr="006C1547">
                              <w:rPr>
                                <w:i/>
                                <w:noProof/>
                                <w:sz w:val="16"/>
                                <w:szCs w:val="16"/>
                              </w:rPr>
                              <w:t>Preoperative Factors That Predict the Need to Morcellate in Total Laparoscopic Hysterectomy.</w:t>
                            </w: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J Minim Invasive Gynecol, 2018. </w:t>
                            </w:r>
                            <w:r w:rsidRPr="006C1547">
                              <w:rPr>
                                <w:b/>
                                <w:noProof/>
                                <w:sz w:val="16"/>
                                <w:szCs w:val="16"/>
                              </w:rPr>
                              <w:t>25</w:t>
                            </w: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>(1): p. 158-162.</w:t>
                            </w:r>
                          </w:p>
                          <w:p w14:paraId="6801F649" w14:textId="7EF6E79B" w:rsidR="006C1547" w:rsidRPr="006C1547" w:rsidRDefault="006C1547" w:rsidP="006C1547">
                            <w:pPr>
                              <w:pStyle w:val="EndNoteBibliography"/>
                              <w:numPr>
                                <w:ilvl w:val="0"/>
                                <w:numId w:val="2"/>
                              </w:numPr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Asgari, Z., et al., </w:t>
                            </w:r>
                            <w:r w:rsidRPr="006C1547">
                              <w:rPr>
                                <w:i/>
                                <w:noProof/>
                                <w:sz w:val="16"/>
                                <w:szCs w:val="16"/>
                              </w:rPr>
                              <w:t>Predictive factors of the need to morcellate in total laparoscopic hysterectomy.</w:t>
                            </w: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Aust N Z J Obstet Gynaecol, 2021.</w:t>
                            </w:r>
                          </w:p>
                          <w:p w14:paraId="2E524090" w14:textId="0AF118EA" w:rsidR="006C1547" w:rsidRPr="006C1547" w:rsidRDefault="006C1547" w:rsidP="006C1547">
                            <w:pPr>
                              <w:pStyle w:val="EndNoteBibliography"/>
                              <w:numPr>
                                <w:ilvl w:val="0"/>
                                <w:numId w:val="2"/>
                              </w:numPr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Kung, F.T. and S.Y. Chang, </w:t>
                            </w:r>
                            <w:r w:rsidRPr="006C1547">
                              <w:rPr>
                                <w:i/>
                                <w:noProof/>
                                <w:sz w:val="16"/>
                                <w:szCs w:val="16"/>
                              </w:rPr>
                              <w:t>The relationship between ultrasonic volume and actual weight of pathologic uterus.</w:t>
                            </w: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Gynecol Obstet Invest, 1996. </w:t>
                            </w:r>
                            <w:r w:rsidRPr="006C1547">
                              <w:rPr>
                                <w:b/>
                                <w:noProof/>
                                <w:sz w:val="16"/>
                                <w:szCs w:val="16"/>
                              </w:rPr>
                              <w:t>42</w:t>
                            </w: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>(1): p. 35-8.</w:t>
                            </w:r>
                          </w:p>
                          <w:p w14:paraId="24839953" w14:textId="366D7763" w:rsidR="006C1547" w:rsidRPr="006C1547" w:rsidRDefault="006C1547" w:rsidP="006C1547">
                            <w:pPr>
                              <w:pStyle w:val="EndNoteBibliography"/>
                              <w:numPr>
                                <w:ilvl w:val="0"/>
                                <w:numId w:val="2"/>
                              </w:numPr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Wasson, M., et al., </w:t>
                            </w:r>
                            <w:r w:rsidRPr="006C1547">
                              <w:rPr>
                                <w:i/>
                                <w:noProof/>
                                <w:sz w:val="16"/>
                                <w:szCs w:val="16"/>
                              </w:rPr>
                              <w:t>Prognostic Factors for Morcellation During Vaginal Hysterectomy.</w:t>
                            </w: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Obstet Gynecol, 2016. </w:t>
                            </w:r>
                            <w:r w:rsidRPr="006C1547">
                              <w:rPr>
                                <w:b/>
                                <w:noProof/>
                                <w:sz w:val="16"/>
                                <w:szCs w:val="16"/>
                              </w:rPr>
                              <w:t>127</w:t>
                            </w: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>(4): p. 752-757.</w:t>
                            </w:r>
                          </w:p>
                          <w:p w14:paraId="034BD0A1" w14:textId="081FA488" w:rsidR="006C1547" w:rsidRPr="006F58D1" w:rsidRDefault="006C1547" w:rsidP="006F58D1">
                            <w:pPr>
                              <w:pStyle w:val="EndNoteBibliography"/>
                              <w:numPr>
                                <w:ilvl w:val="0"/>
                                <w:numId w:val="2"/>
                              </w:numPr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Condous, G., et al., </w:t>
                            </w:r>
                            <w:r w:rsidRPr="006C1547">
                              <w:rPr>
                                <w:i/>
                                <w:noProof/>
                                <w:sz w:val="16"/>
                                <w:szCs w:val="16"/>
                              </w:rPr>
                              <w:t>What determines the need to morcellate the uterus during total laparoscopic hysterectomy?</w:t>
                            </w: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J Minim Invasive Gynecol, 2009. </w:t>
                            </w:r>
                            <w:r w:rsidRPr="006C1547">
                              <w:rPr>
                                <w:b/>
                                <w:noProof/>
                                <w:sz w:val="16"/>
                                <w:szCs w:val="16"/>
                              </w:rPr>
                              <w:t>16</w:t>
                            </w:r>
                            <w:r w:rsidRPr="006C1547">
                              <w:rPr>
                                <w:noProof/>
                                <w:sz w:val="16"/>
                                <w:szCs w:val="16"/>
                              </w:rPr>
                              <w:t>(1): p. 52-5.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A9CB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86.8pt;margin-top:9.45pt;width:315.2pt;height:26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fkALLQIAAFUEAAAOAAAAZHJzL2Uyb0RvYy54bWysVEtv2zAMvg/YfxB0X2wnabYZcYosRYYB&#13;&#10;QVsgHXpWZCk2IIuapMTOfv0o2Xms22nYRSZFio/vIz2/7xpFjsK6GnRBs1FKidAcylrvC/r9Zf3h&#13;&#10;EyXOM10yBVoU9CQcvV+8fzdvTS7GUIEqhSUYRLu8NQWtvDd5kjheiYa5ERih0SjBNsyjavdJaVmL&#13;&#10;0RuVjNN0lrRgS2OBC+fw9qE30kWML6Xg/klKJzxRBcXafDxtPHfhTBZzlu8tM1XNhzLYP1TRsFpj&#13;&#10;0kuoB+YZOdj6j1BNzS04kH7EoUlAypqL2AN2k6VvutlWzIjYC4LjzAUm9//C8sfj1jxb4rsv0CGB&#13;&#10;AZDWuNzhZeink7YJX6yUoB0hPF1gE50nHC+naTpJp2jiaJtMsnE2i8Am1+fGOv9VQEOCUFCLvES4&#13;&#10;2HHjPKZE17NLyOZA1eW6VioqYRbESllyZMjibh+LxBe/eSlN2oLOJndpDKwhPO8jK40Jrk0FyXe7&#13;&#10;buh0B+UJAbDQz4YzfF1jkRvm/DOzOAzYGA64f8JDKsAkMEiUVGB//u0++CNHaKWkxeEqqPtxYFZQ&#13;&#10;or5pZO9zNg14+ahM7z6OUbG3lt2tRR+aFWDnGa6S4VEM/l6dRWmhecU9WIasaGKaY+6C+rO48v3I&#13;&#10;4x5xsVxGJ5w/w/xGbw0PoQPSgYKX7pVZM/DkkeJHOI8hy9/Q1fuGlxqWBw+yjlwGgHtUB9xxdiPF&#13;&#10;w56F5bjVo9f1b7D4BQAA//8DAFBLAwQUAAYACAAAACEAIZq7OuAAAAAQAQAADwAAAGRycy9kb3du&#13;&#10;cmV2LnhtbExPO0/DMBDekfgP1iGxURv6oKRxqvLoXJEwMLrxkYTG5yh225Bfz3WC5aTT907Xg2vF&#13;&#10;CfvQeNJwP1EgkEpvG6o0fBTbuyWIEA1Z03pCDT8YYJ1dX6Umsf5M73jKYyXYhEJiNNQxdomUoazR&#13;&#10;mTDxHRJjX753JvLbV9L25szmrpUPSi2kMw1xQm06fKmxPORHx7m+eDuMmyiLbYn5s52P37vPUevb&#13;&#10;m+F1xWezAhFxiH8KuGzg/pBxsb0/kg2i1TB9nC6YysDyCcSFoNSMJ+41zGdqDjJL5f8h2S8AAAD/&#13;&#10;/wMAUEsBAi0AFAAGAAgAAAAhALaDOJL+AAAA4QEAABMAAAAAAAAAAAAAAAAAAAAAAFtDb250ZW50&#13;&#10;X1R5cGVzXS54bWxQSwECLQAUAAYACAAAACEAOP0h/9YAAACUAQAACwAAAAAAAAAAAAAAAAAvAQAA&#13;&#10;X3JlbHMvLnJlbHNQSwECLQAUAAYACAAAACEAeX5ACy0CAABVBAAADgAAAAAAAAAAAAAAAAAuAgAA&#13;&#10;ZHJzL2Uyb0RvYy54bWxQSwECLQAUAAYACAAAACEAIZq7OuAAAAAQAQAADwAAAAAAAAAAAAAAAACH&#13;&#10;BAAAZHJzL2Rvd25yZXYueG1sUEsFBgAAAAAEAAQA8wAAAJQFAAAAAA==&#13;&#10;" fillcolor="white [3212]" stroked="f" strokeweight=".5pt">
                <v:textbox>
                  <w:txbxContent>
                    <w:p w14:paraId="52867CE9" w14:textId="6020F83B" w:rsidR="006C1547" w:rsidRPr="006C1547" w:rsidRDefault="006C1547" w:rsidP="006C1547">
                      <w:pPr>
                        <w:ind w:left="720" w:hanging="360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6C1547">
                        <w:rPr>
                          <w:b/>
                          <w:bCs/>
                          <w:sz w:val="22"/>
                          <w:szCs w:val="22"/>
                        </w:rPr>
                        <w:t xml:space="preserve">Recent publication: </w:t>
                      </w:r>
                    </w:p>
                    <w:p w14:paraId="051E1FBE" w14:textId="77777777" w:rsidR="006C1547" w:rsidRPr="006C1547" w:rsidRDefault="006C1547" w:rsidP="006C1547">
                      <w:pPr>
                        <w:ind w:left="720" w:hanging="360"/>
                        <w:rPr>
                          <w:sz w:val="16"/>
                          <w:szCs w:val="16"/>
                        </w:rPr>
                      </w:pPr>
                    </w:p>
                    <w:p w14:paraId="2C93ADC9" w14:textId="4F6520F4" w:rsidR="006C1547" w:rsidRPr="006C1547" w:rsidRDefault="006C1547" w:rsidP="006C1547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6C1547">
                        <w:rPr>
                          <w:sz w:val="16"/>
                          <w:szCs w:val="16"/>
                        </w:rPr>
                        <w:t>Murji</w:t>
                      </w:r>
                      <w:proofErr w:type="spellEnd"/>
                      <w:r w:rsidRPr="006C1547">
                        <w:rPr>
                          <w:sz w:val="16"/>
                          <w:szCs w:val="16"/>
                        </w:rPr>
                        <w:t xml:space="preserve">, A., et al., No. 371-Morcellation During Gynaecologic Surgery: Its Uses, Complications, and Risks of Unsuspected Malignancy. J </w:t>
                      </w:r>
                      <w:proofErr w:type="spellStart"/>
                      <w:r w:rsidRPr="006C1547">
                        <w:rPr>
                          <w:sz w:val="16"/>
                          <w:szCs w:val="16"/>
                        </w:rPr>
                        <w:t>Obstet</w:t>
                      </w:r>
                      <w:proofErr w:type="spellEnd"/>
                      <w:r w:rsidRPr="006C1547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6C1547">
                        <w:rPr>
                          <w:sz w:val="16"/>
                          <w:szCs w:val="16"/>
                        </w:rPr>
                        <w:t>Gynaecol</w:t>
                      </w:r>
                      <w:proofErr w:type="spellEnd"/>
                      <w:r w:rsidRPr="006C1547">
                        <w:rPr>
                          <w:sz w:val="16"/>
                          <w:szCs w:val="16"/>
                        </w:rPr>
                        <w:t xml:space="preserve"> Can, 2019. 41(1): p. 116-126.</w:t>
                      </w:r>
                    </w:p>
                    <w:p w14:paraId="53E1BF47" w14:textId="77777777" w:rsidR="006C1547" w:rsidRPr="006C1547" w:rsidRDefault="006C1547" w:rsidP="006C1547">
                      <w:pPr>
                        <w:pStyle w:val="EndNoteBibliography"/>
                        <w:numPr>
                          <w:ilvl w:val="0"/>
                          <w:numId w:val="2"/>
                        </w:numPr>
                        <w:rPr>
                          <w:noProof/>
                          <w:sz w:val="16"/>
                          <w:szCs w:val="16"/>
                        </w:rPr>
                      </w:pPr>
                      <w:r w:rsidRPr="006C1547">
                        <w:rPr>
                          <w:noProof/>
                          <w:sz w:val="16"/>
                          <w:szCs w:val="16"/>
                        </w:rPr>
                        <w:t xml:space="preserve">Tulandi, T., A. Leung, and N. Jan, </w:t>
                      </w:r>
                      <w:r w:rsidRPr="006C1547">
                        <w:rPr>
                          <w:i/>
                          <w:noProof/>
                          <w:sz w:val="16"/>
                          <w:szCs w:val="16"/>
                        </w:rPr>
                        <w:t>Nonmalignant Sequelae of Unconfined Morcellation at Laparoscopic Hysterectomy or Myomectomy.</w:t>
                      </w:r>
                      <w:r w:rsidRPr="006C1547">
                        <w:rPr>
                          <w:noProof/>
                          <w:sz w:val="16"/>
                          <w:szCs w:val="16"/>
                        </w:rPr>
                        <w:t xml:space="preserve"> J Minim Invasive Gynecol, 2016. </w:t>
                      </w:r>
                      <w:r w:rsidRPr="006C1547">
                        <w:rPr>
                          <w:b/>
                          <w:noProof/>
                          <w:sz w:val="16"/>
                          <w:szCs w:val="16"/>
                        </w:rPr>
                        <w:t>23</w:t>
                      </w:r>
                      <w:r w:rsidRPr="006C1547">
                        <w:rPr>
                          <w:noProof/>
                          <w:sz w:val="16"/>
                          <w:szCs w:val="16"/>
                        </w:rPr>
                        <w:t>(3): p. 331-7.</w:t>
                      </w:r>
                    </w:p>
                    <w:p w14:paraId="4F0A1E0D" w14:textId="77777777" w:rsidR="006C1547" w:rsidRPr="006C1547" w:rsidRDefault="006C1547" w:rsidP="006C1547">
                      <w:pPr>
                        <w:pStyle w:val="EndNoteBibliography"/>
                        <w:numPr>
                          <w:ilvl w:val="0"/>
                          <w:numId w:val="2"/>
                        </w:numPr>
                        <w:rPr>
                          <w:noProof/>
                          <w:sz w:val="16"/>
                          <w:szCs w:val="16"/>
                        </w:rPr>
                      </w:pPr>
                      <w:r w:rsidRPr="006C1547">
                        <w:rPr>
                          <w:noProof/>
                          <w:sz w:val="16"/>
                          <w:szCs w:val="16"/>
                        </w:rPr>
                        <w:t xml:space="preserve">Gil-Gimeno, A., et al., </w:t>
                      </w:r>
                      <w:r w:rsidRPr="006C1547">
                        <w:rPr>
                          <w:i/>
                          <w:noProof/>
                          <w:sz w:val="16"/>
                          <w:szCs w:val="16"/>
                        </w:rPr>
                        <w:t>Morcellation During Total Laparoscopic Hysterectomies: Implications of the Use of a Contained Bag System.</w:t>
                      </w:r>
                      <w:r w:rsidRPr="006C1547">
                        <w:rPr>
                          <w:noProof/>
                          <w:sz w:val="16"/>
                          <w:szCs w:val="16"/>
                        </w:rPr>
                        <w:t xml:space="preserve"> J Obstet Gynaecol Can, 2020. </w:t>
                      </w:r>
                      <w:r w:rsidRPr="006C1547">
                        <w:rPr>
                          <w:b/>
                          <w:noProof/>
                          <w:sz w:val="16"/>
                          <w:szCs w:val="16"/>
                        </w:rPr>
                        <w:t>42</w:t>
                      </w:r>
                      <w:r w:rsidRPr="006C1547">
                        <w:rPr>
                          <w:noProof/>
                          <w:sz w:val="16"/>
                          <w:szCs w:val="16"/>
                        </w:rPr>
                        <w:t>(7): p. 839-845.</w:t>
                      </w:r>
                    </w:p>
                    <w:p w14:paraId="522FC166" w14:textId="77777777" w:rsidR="006C1547" w:rsidRPr="006C1547" w:rsidRDefault="006C1547" w:rsidP="006C1547">
                      <w:pPr>
                        <w:pStyle w:val="EndNoteBibliography"/>
                        <w:numPr>
                          <w:ilvl w:val="0"/>
                          <w:numId w:val="2"/>
                        </w:numPr>
                        <w:rPr>
                          <w:noProof/>
                          <w:sz w:val="16"/>
                          <w:szCs w:val="16"/>
                        </w:rPr>
                      </w:pPr>
                      <w:r w:rsidRPr="006C1547">
                        <w:rPr>
                          <w:noProof/>
                          <w:sz w:val="16"/>
                          <w:szCs w:val="16"/>
                        </w:rPr>
                        <w:t>7.</w:t>
                      </w:r>
                      <w:r w:rsidRPr="006C1547">
                        <w:rPr>
                          <w:noProof/>
                          <w:sz w:val="16"/>
                          <w:szCs w:val="16"/>
                        </w:rPr>
                        <w:tab/>
                        <w:t xml:space="preserve">Harb, T.S. and R.A. Adam, </w:t>
                      </w:r>
                      <w:r w:rsidRPr="006C1547">
                        <w:rPr>
                          <w:i/>
                          <w:noProof/>
                          <w:sz w:val="16"/>
                          <w:szCs w:val="16"/>
                        </w:rPr>
                        <w:t>Predicting uterine weight before hysterectomy: ultrasound measurements versus clinical assessment.</w:t>
                      </w:r>
                      <w:r w:rsidRPr="006C1547">
                        <w:rPr>
                          <w:noProof/>
                          <w:sz w:val="16"/>
                          <w:szCs w:val="16"/>
                        </w:rPr>
                        <w:t xml:space="preserve"> Am J Obstet Gynecol, 2005. </w:t>
                      </w:r>
                      <w:r w:rsidRPr="006C1547">
                        <w:rPr>
                          <w:b/>
                          <w:noProof/>
                          <w:sz w:val="16"/>
                          <w:szCs w:val="16"/>
                        </w:rPr>
                        <w:t>193</w:t>
                      </w:r>
                      <w:r w:rsidRPr="006C1547">
                        <w:rPr>
                          <w:noProof/>
                          <w:sz w:val="16"/>
                          <w:szCs w:val="16"/>
                        </w:rPr>
                        <w:t>(6): p. 2122-5.</w:t>
                      </w:r>
                    </w:p>
                    <w:p w14:paraId="0D1B3662" w14:textId="69B4BC2D" w:rsidR="006C1547" w:rsidRPr="006C1547" w:rsidRDefault="006C1547" w:rsidP="006C1547">
                      <w:pPr>
                        <w:pStyle w:val="EndNoteBibliography"/>
                        <w:numPr>
                          <w:ilvl w:val="0"/>
                          <w:numId w:val="2"/>
                        </w:numPr>
                        <w:rPr>
                          <w:noProof/>
                          <w:sz w:val="16"/>
                          <w:szCs w:val="16"/>
                        </w:rPr>
                      </w:pPr>
                      <w:r w:rsidRPr="006C1547">
                        <w:rPr>
                          <w:noProof/>
                          <w:sz w:val="16"/>
                          <w:szCs w:val="16"/>
                        </w:rPr>
                        <w:t xml:space="preserve">Wolfe, M., et al., </w:t>
                      </w:r>
                      <w:r w:rsidRPr="006C1547">
                        <w:rPr>
                          <w:i/>
                          <w:noProof/>
                          <w:sz w:val="16"/>
                          <w:szCs w:val="16"/>
                        </w:rPr>
                        <w:t>Preoperative Factors That Predict the Need to Morcellate in Total Laparoscopic Hysterectomy.</w:t>
                      </w:r>
                      <w:r w:rsidRPr="006C1547">
                        <w:rPr>
                          <w:noProof/>
                          <w:sz w:val="16"/>
                          <w:szCs w:val="16"/>
                        </w:rPr>
                        <w:t xml:space="preserve"> J Minim Invasive Gynecol, 2018. </w:t>
                      </w:r>
                      <w:r w:rsidRPr="006C1547">
                        <w:rPr>
                          <w:b/>
                          <w:noProof/>
                          <w:sz w:val="16"/>
                          <w:szCs w:val="16"/>
                        </w:rPr>
                        <w:t>25</w:t>
                      </w:r>
                      <w:r w:rsidRPr="006C1547">
                        <w:rPr>
                          <w:noProof/>
                          <w:sz w:val="16"/>
                          <w:szCs w:val="16"/>
                        </w:rPr>
                        <w:t>(1): p. 158-162.</w:t>
                      </w:r>
                    </w:p>
                    <w:p w14:paraId="6801F649" w14:textId="7EF6E79B" w:rsidR="006C1547" w:rsidRPr="006C1547" w:rsidRDefault="006C1547" w:rsidP="006C1547">
                      <w:pPr>
                        <w:pStyle w:val="EndNoteBibliography"/>
                        <w:numPr>
                          <w:ilvl w:val="0"/>
                          <w:numId w:val="2"/>
                        </w:numPr>
                        <w:rPr>
                          <w:noProof/>
                          <w:sz w:val="16"/>
                          <w:szCs w:val="16"/>
                        </w:rPr>
                      </w:pPr>
                      <w:r w:rsidRPr="006C1547">
                        <w:rPr>
                          <w:noProof/>
                          <w:sz w:val="16"/>
                          <w:szCs w:val="16"/>
                        </w:rPr>
                        <w:t xml:space="preserve">Asgari, Z., et al., </w:t>
                      </w:r>
                      <w:r w:rsidRPr="006C1547">
                        <w:rPr>
                          <w:i/>
                          <w:noProof/>
                          <w:sz w:val="16"/>
                          <w:szCs w:val="16"/>
                        </w:rPr>
                        <w:t>Predictive factors of the need to morcellate in total laparoscopic hysterectomy.</w:t>
                      </w:r>
                      <w:r w:rsidRPr="006C1547">
                        <w:rPr>
                          <w:noProof/>
                          <w:sz w:val="16"/>
                          <w:szCs w:val="16"/>
                        </w:rPr>
                        <w:t xml:space="preserve"> Aust N Z J Obstet Gynaecol, 2021.</w:t>
                      </w:r>
                    </w:p>
                    <w:p w14:paraId="2E524090" w14:textId="0AF118EA" w:rsidR="006C1547" w:rsidRPr="006C1547" w:rsidRDefault="006C1547" w:rsidP="006C1547">
                      <w:pPr>
                        <w:pStyle w:val="EndNoteBibliography"/>
                        <w:numPr>
                          <w:ilvl w:val="0"/>
                          <w:numId w:val="2"/>
                        </w:numPr>
                        <w:rPr>
                          <w:noProof/>
                          <w:sz w:val="16"/>
                          <w:szCs w:val="16"/>
                        </w:rPr>
                      </w:pPr>
                      <w:r w:rsidRPr="006C1547">
                        <w:rPr>
                          <w:noProof/>
                          <w:sz w:val="16"/>
                          <w:szCs w:val="16"/>
                        </w:rPr>
                        <w:t xml:space="preserve">Kung, F.T. and S.Y. Chang, </w:t>
                      </w:r>
                      <w:r w:rsidRPr="006C1547">
                        <w:rPr>
                          <w:i/>
                          <w:noProof/>
                          <w:sz w:val="16"/>
                          <w:szCs w:val="16"/>
                        </w:rPr>
                        <w:t>The relationship between ultrasonic volume and actual weight of pathologic uterus.</w:t>
                      </w:r>
                      <w:r w:rsidRPr="006C1547">
                        <w:rPr>
                          <w:noProof/>
                          <w:sz w:val="16"/>
                          <w:szCs w:val="16"/>
                        </w:rPr>
                        <w:t xml:space="preserve"> Gynecol Obstet Invest, 1996. </w:t>
                      </w:r>
                      <w:r w:rsidRPr="006C1547">
                        <w:rPr>
                          <w:b/>
                          <w:noProof/>
                          <w:sz w:val="16"/>
                          <w:szCs w:val="16"/>
                        </w:rPr>
                        <w:t>42</w:t>
                      </w:r>
                      <w:r w:rsidRPr="006C1547">
                        <w:rPr>
                          <w:noProof/>
                          <w:sz w:val="16"/>
                          <w:szCs w:val="16"/>
                        </w:rPr>
                        <w:t>(1): p. 35-8.</w:t>
                      </w:r>
                    </w:p>
                    <w:p w14:paraId="24839953" w14:textId="366D7763" w:rsidR="006C1547" w:rsidRPr="006C1547" w:rsidRDefault="006C1547" w:rsidP="006C1547">
                      <w:pPr>
                        <w:pStyle w:val="EndNoteBibliography"/>
                        <w:numPr>
                          <w:ilvl w:val="0"/>
                          <w:numId w:val="2"/>
                        </w:numPr>
                        <w:rPr>
                          <w:noProof/>
                          <w:sz w:val="16"/>
                          <w:szCs w:val="16"/>
                        </w:rPr>
                      </w:pPr>
                      <w:r w:rsidRPr="006C1547">
                        <w:rPr>
                          <w:noProof/>
                          <w:sz w:val="16"/>
                          <w:szCs w:val="16"/>
                        </w:rPr>
                        <w:t xml:space="preserve">Wasson, M., et al., </w:t>
                      </w:r>
                      <w:r w:rsidRPr="006C1547">
                        <w:rPr>
                          <w:i/>
                          <w:noProof/>
                          <w:sz w:val="16"/>
                          <w:szCs w:val="16"/>
                        </w:rPr>
                        <w:t>Prognostic Factors for Morcellation During Vaginal Hysterectomy.</w:t>
                      </w:r>
                      <w:r w:rsidRPr="006C1547">
                        <w:rPr>
                          <w:noProof/>
                          <w:sz w:val="16"/>
                          <w:szCs w:val="16"/>
                        </w:rPr>
                        <w:t xml:space="preserve"> Obstet Gynecol, 2016. </w:t>
                      </w:r>
                      <w:r w:rsidRPr="006C1547">
                        <w:rPr>
                          <w:b/>
                          <w:noProof/>
                          <w:sz w:val="16"/>
                          <w:szCs w:val="16"/>
                        </w:rPr>
                        <w:t>127</w:t>
                      </w:r>
                      <w:r w:rsidRPr="006C1547">
                        <w:rPr>
                          <w:noProof/>
                          <w:sz w:val="16"/>
                          <w:szCs w:val="16"/>
                        </w:rPr>
                        <w:t>(4): p. 752-757.</w:t>
                      </w:r>
                    </w:p>
                    <w:p w14:paraId="034BD0A1" w14:textId="081FA488" w:rsidR="006C1547" w:rsidRPr="006F58D1" w:rsidRDefault="006C1547" w:rsidP="006F58D1">
                      <w:pPr>
                        <w:pStyle w:val="EndNoteBibliography"/>
                        <w:numPr>
                          <w:ilvl w:val="0"/>
                          <w:numId w:val="2"/>
                        </w:numPr>
                        <w:rPr>
                          <w:noProof/>
                          <w:sz w:val="16"/>
                          <w:szCs w:val="16"/>
                        </w:rPr>
                      </w:pPr>
                      <w:r w:rsidRPr="006C1547">
                        <w:rPr>
                          <w:noProof/>
                          <w:sz w:val="16"/>
                          <w:szCs w:val="16"/>
                        </w:rPr>
                        <w:t xml:space="preserve">Condous, G., et al., </w:t>
                      </w:r>
                      <w:r w:rsidRPr="006C1547">
                        <w:rPr>
                          <w:i/>
                          <w:noProof/>
                          <w:sz w:val="16"/>
                          <w:szCs w:val="16"/>
                        </w:rPr>
                        <w:t>What determines the need to morcellate the uterus during total laparoscopic hysterectomy?</w:t>
                      </w:r>
                      <w:r w:rsidRPr="006C1547">
                        <w:rPr>
                          <w:noProof/>
                          <w:sz w:val="16"/>
                          <w:szCs w:val="16"/>
                        </w:rPr>
                        <w:t xml:space="preserve"> J Minim Invasive Gynecol, 2009. </w:t>
                      </w:r>
                      <w:r w:rsidRPr="006C1547">
                        <w:rPr>
                          <w:b/>
                          <w:noProof/>
                          <w:sz w:val="16"/>
                          <w:szCs w:val="16"/>
                        </w:rPr>
                        <w:t>16</w:t>
                      </w:r>
                      <w:r w:rsidRPr="006C1547">
                        <w:rPr>
                          <w:noProof/>
                          <w:sz w:val="16"/>
                          <w:szCs w:val="16"/>
                        </w:rPr>
                        <w:t>(1): p. 52-5.</w:t>
                      </w:r>
                    </w:p>
                  </w:txbxContent>
                </v:textbox>
              </v:shape>
            </w:pict>
          </mc:Fallback>
        </mc:AlternateContent>
      </w:r>
    </w:p>
    <w:p w14:paraId="2DA8CD50" w14:textId="4712C0EF" w:rsidR="00A90656" w:rsidRDefault="00A90656">
      <w:pPr>
        <w:rPr>
          <w:sz w:val="22"/>
          <w:szCs w:val="22"/>
        </w:rPr>
      </w:pPr>
    </w:p>
    <w:p w14:paraId="0DC16F44" w14:textId="1643CAE1" w:rsidR="00A90656" w:rsidRPr="006C1547" w:rsidRDefault="00826810">
      <w:pPr>
        <w:rPr>
          <w:b/>
          <w:bCs/>
          <w:sz w:val="22"/>
          <w:szCs w:val="22"/>
        </w:rPr>
      </w:pPr>
      <w:r>
        <w:rPr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57AFB8DC" wp14:editId="4E90EF49">
            <wp:simplePos x="0" y="0"/>
            <wp:positionH relativeFrom="column">
              <wp:posOffset>-887095</wp:posOffset>
            </wp:positionH>
            <wp:positionV relativeFrom="paragraph">
              <wp:posOffset>307340</wp:posOffset>
            </wp:positionV>
            <wp:extent cx="1129030" cy="1344930"/>
            <wp:effectExtent l="0" t="0" r="1270" b="1270"/>
            <wp:wrapThrough wrapText="bothSides">
              <wp:wrapPolygon edited="0">
                <wp:start x="0" y="0"/>
                <wp:lineTo x="0" y="21416"/>
                <wp:lineTo x="21381" y="21416"/>
                <wp:lineTo x="21381" y="0"/>
                <wp:lineTo x="0" y="0"/>
              </wp:wrapPolygon>
            </wp:wrapThrough>
            <wp:docPr id="195514934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149345" name="Image 195514934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9030" cy="1344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0656" w:rsidRPr="006C1547">
        <w:rPr>
          <w:b/>
          <w:bCs/>
          <w:sz w:val="22"/>
          <w:szCs w:val="22"/>
        </w:rPr>
        <w:t xml:space="preserve">Biography: </w:t>
      </w:r>
    </w:p>
    <w:p w14:paraId="7BAE5C1B" w14:textId="63CEF96E" w:rsidR="006C1547" w:rsidRDefault="00826810">
      <w:pPr>
        <w:rPr>
          <w:sz w:val="22"/>
          <w:szCs w:val="22"/>
        </w:rPr>
      </w:pPr>
      <w:r>
        <w:rPr>
          <w:b/>
          <w:bCs/>
          <w:noProof/>
          <w:sz w:val="2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864C84" wp14:editId="06D25056">
                <wp:simplePos x="0" y="0"/>
                <wp:positionH relativeFrom="column">
                  <wp:posOffset>376518</wp:posOffset>
                </wp:positionH>
                <wp:positionV relativeFrom="paragraph">
                  <wp:posOffset>65181</wp:posOffset>
                </wp:positionV>
                <wp:extent cx="2133600" cy="2064123"/>
                <wp:effectExtent l="0" t="0" r="0" b="6350"/>
                <wp:wrapNone/>
                <wp:docPr id="1966750036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20641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26EC9D" w14:textId="77777777" w:rsidR="00F02523" w:rsidRDefault="00F02523" w:rsidP="006F58D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Catherine Bergeron</w:t>
                            </w:r>
                          </w:p>
                          <w:p w14:paraId="6A50208B" w14:textId="436C15BA" w:rsidR="00F02523" w:rsidRDefault="00F02523" w:rsidP="00B0121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3</w:t>
                            </w:r>
                            <w:r w:rsidRPr="006C1547">
                              <w:rPr>
                                <w:sz w:val="22"/>
                                <w:szCs w:val="22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year resident in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bstetrics and</w:t>
                            </w:r>
                          </w:p>
                          <w:p w14:paraId="1EFD68B6" w14:textId="248A5085" w:rsidR="00F02523" w:rsidRDefault="00F02523" w:rsidP="00B0121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g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ynaecology and master student in</w:t>
                            </w:r>
                          </w:p>
                          <w:p w14:paraId="78233ABA" w14:textId="14A6644B" w:rsidR="00F02523" w:rsidRDefault="00F02523" w:rsidP="00B0121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epidemiology</w:t>
                            </w:r>
                            <w:r w:rsidR="00724325">
                              <w:rPr>
                                <w:sz w:val="22"/>
                                <w:szCs w:val="22"/>
                              </w:rPr>
                              <w:t xml:space="preserve"> in University Laval (Québec City, Canada).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She published a systematic review in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2020 </w:t>
                            </w:r>
                            <w:r w:rsidR="006F58D1">
                              <w:rPr>
                                <w:sz w:val="22"/>
                                <w:szCs w:val="22"/>
                              </w:rPr>
                              <w:t>comparing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endometrial ablation and levonorgestrel intrauterine system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in the Human Reproduction Update. She also participated in</w:t>
                            </w:r>
                            <w:r w:rsidR="00B0121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other </w:t>
                            </w:r>
                            <w:r w:rsidR="00826810">
                              <w:rPr>
                                <w:sz w:val="22"/>
                                <w:szCs w:val="22"/>
                              </w:rPr>
                              <w:t xml:space="preserve">publications </w:t>
                            </w:r>
                            <w:r w:rsidR="006F58D1">
                              <w:rPr>
                                <w:sz w:val="22"/>
                                <w:szCs w:val="22"/>
                              </w:rPr>
                              <w:t>with her colleague</w:t>
                            </w:r>
                            <w:r w:rsidR="00826810"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 w:rsidR="00724325">
                              <w:rPr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7A90DEBD" w14:textId="77777777" w:rsidR="00F02523" w:rsidRDefault="00F02523" w:rsidP="006F58D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2BDEB87" w14:textId="77777777" w:rsidR="00F02523" w:rsidRDefault="00F02523" w:rsidP="00F0252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A388C1D" w14:textId="77777777" w:rsidR="00F02523" w:rsidRDefault="00F025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64C84" id="Zone de texte 4" o:spid="_x0000_s1027" type="#_x0000_t202" style="position:absolute;margin-left:29.65pt;margin-top:5.15pt;width:168pt;height:162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RpTYLwIAAFwEAAAOAAAAZHJzL2Uyb0RvYy54bWysVE2P2yAQvVfqf0DcG38km7ZWnFWaVapK&#13;&#10;0e5K2WrPBENsCTMUSOz013fA+eq2p6oXPMMMj5k3D8/u+1aRg7CuAV3SbJRSIjSHqtG7kn5/WX34&#13;&#10;RInzTFdMgRYlPQpH7+fv3806U4gcalCVsARBtCs6U9Lae1MkieO1aJkbgREagxJsyzy6dpdUlnWI&#13;&#10;3qokT9Np0oGtjAUunMPdhyFI5xFfSsH9k5ROeKJKirX5uNq4bsOazGes2Flm6oafymD/UEXLGo2X&#13;&#10;XqAemGdkb5s/oNqGW3Ag/YhDm4CUDRexB+wmS990s6mZEbEXJMeZC03u/8Hyx8PGPFvi+y/Q4wAD&#13;&#10;IZ1xhcPN0E8vbRu+WCnBOFJ4vNAmek84bubZeDxNMcQxlqfTSZaPA05yPW6s818FtCQYJbU4l0gX&#13;&#10;O6ydH1LPKeE2B6qpVo1S0QlaEEtlyYHhFJWPRSL4b1lKk66k0/FdGoE1hOMDstJYy7WpYPl+25Om&#13;&#10;uml4C9URebAwSMQZvmqw1jVz/plZ1AT2hzr3T7hIBXgXnCxKarA//7Yf8nFUGKWkQ42V1P3YMyso&#13;&#10;Ud80DvFzNpkEUUZncvcxR8feRra3Eb1vl4AEZPiiDI9myPfqbEoL7Ss+h0W4FUNMc7y7pP5sLv2g&#13;&#10;fHxOXCwWMQllaJhf643hAToQHibx0r8ya07j8jjpRzirkRVvpjbkhpMaFnsPsokjDTwPrJ7oRwlH&#13;&#10;UZyeW3gjt37Muv4U5r8AAAD//wMAUEsDBBQABgAIAAAAIQBqHXj34gAAAA4BAAAPAAAAZHJzL2Rv&#13;&#10;d25yZXYueG1sTE/LTsQwDLwj8Q+RkbggNoVQYLtNV4jHInFjy0Pcso1pKxqnarJt+XvMCS722GOP&#13;&#10;x/l6dp0YcQitJw1niwQEUuVtS7WGl/Lh9BpEiIas6Tyhhm8MsC4OD3KTWT/RM47bWAsWoZAZDU2M&#13;&#10;fSZlqBp0Jix8j8Tcpx+ciVwOtbSDmVjcdfI8SS6lMy3xhcb0eNtg9bXdOw0fJ/X7U5g3r5NKVX//&#13;&#10;OJZXb7bU+vhovltxuFmBiDjHvw34/YH9Q8HGdn5PNohOQ7pUPMn9hDPzapky2DFQ6QXIIpf/3yh+&#13;&#10;AAAA//8DAFBLAQItABQABgAIAAAAIQC2gziS/gAAAOEBAAATAAAAAAAAAAAAAAAAAAAAAABbQ29u&#13;&#10;dGVudF9UeXBlc10ueG1sUEsBAi0AFAAGAAgAAAAhADj9If/WAAAAlAEAAAsAAAAAAAAAAAAAAAAA&#13;&#10;LwEAAF9yZWxzLy5yZWxzUEsBAi0AFAAGAAgAAAAhAI1GlNgvAgAAXAQAAA4AAAAAAAAAAAAAAAAA&#13;&#10;LgIAAGRycy9lMm9Eb2MueG1sUEsBAi0AFAAGAAgAAAAhAGodePfiAAAADgEAAA8AAAAAAAAAAAAA&#13;&#10;AAAAiQQAAGRycy9kb3ducmV2LnhtbFBLBQYAAAAABAAEAPMAAACYBQAAAAA=&#13;&#10;" fillcolor="white [3201]" stroked="f" strokeweight=".5pt">
                <v:textbox>
                  <w:txbxContent>
                    <w:p w14:paraId="4226EC9D" w14:textId="77777777" w:rsidR="00F02523" w:rsidRDefault="00F02523" w:rsidP="006F58D1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Catherine Bergeron</w:t>
                      </w:r>
                    </w:p>
                    <w:p w14:paraId="6A50208B" w14:textId="436C15BA" w:rsidR="00F02523" w:rsidRDefault="00F02523" w:rsidP="00B01214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3</w:t>
                      </w:r>
                      <w:r w:rsidRPr="006C1547">
                        <w:rPr>
                          <w:sz w:val="22"/>
                          <w:szCs w:val="22"/>
                          <w:vertAlign w:val="superscript"/>
                        </w:rPr>
                        <w:t>rd</w:t>
                      </w:r>
                      <w:r>
                        <w:rPr>
                          <w:sz w:val="22"/>
                          <w:szCs w:val="22"/>
                        </w:rPr>
                        <w:t xml:space="preserve"> year resident in </w:t>
                      </w:r>
                      <w:r>
                        <w:rPr>
                          <w:sz w:val="22"/>
                          <w:szCs w:val="22"/>
                        </w:rPr>
                        <w:t>o</w:t>
                      </w:r>
                      <w:r>
                        <w:rPr>
                          <w:sz w:val="22"/>
                          <w:szCs w:val="22"/>
                        </w:rPr>
                        <w:t>bstetrics and</w:t>
                      </w:r>
                    </w:p>
                    <w:p w14:paraId="1EFD68B6" w14:textId="248A5085" w:rsidR="00F02523" w:rsidRDefault="00F02523" w:rsidP="00B01214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g</w:t>
                      </w:r>
                      <w:r>
                        <w:rPr>
                          <w:sz w:val="22"/>
                          <w:szCs w:val="22"/>
                        </w:rPr>
                        <w:t>ynaecology and master student in</w:t>
                      </w:r>
                    </w:p>
                    <w:p w14:paraId="78233ABA" w14:textId="14A6644B" w:rsidR="00F02523" w:rsidRDefault="00F02523" w:rsidP="00B01214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epidemiology</w:t>
                      </w:r>
                      <w:r w:rsidR="00724325">
                        <w:rPr>
                          <w:sz w:val="22"/>
                          <w:szCs w:val="22"/>
                        </w:rPr>
                        <w:t xml:space="preserve"> in University Laval (Québec City, Canada). </w:t>
                      </w:r>
                      <w:r>
                        <w:rPr>
                          <w:sz w:val="22"/>
                          <w:szCs w:val="22"/>
                        </w:rPr>
                        <w:t>She published a systematic review in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 xml:space="preserve">2020 </w:t>
                      </w:r>
                      <w:r w:rsidR="006F58D1">
                        <w:rPr>
                          <w:sz w:val="22"/>
                          <w:szCs w:val="22"/>
                        </w:rPr>
                        <w:t>comparing</w:t>
                      </w:r>
                      <w:r>
                        <w:rPr>
                          <w:sz w:val="22"/>
                          <w:szCs w:val="22"/>
                        </w:rPr>
                        <w:t xml:space="preserve"> endometrial ablation and levonorgestrel intrauterine system</w:t>
                      </w:r>
                      <w:r>
                        <w:rPr>
                          <w:sz w:val="22"/>
                          <w:szCs w:val="22"/>
                        </w:rPr>
                        <w:t xml:space="preserve"> in the Human Reproduction Update. She also participated in</w:t>
                      </w:r>
                      <w:r w:rsidR="00B01214"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 xml:space="preserve">other </w:t>
                      </w:r>
                      <w:r w:rsidR="00826810">
                        <w:rPr>
                          <w:sz w:val="22"/>
                          <w:szCs w:val="22"/>
                        </w:rPr>
                        <w:t xml:space="preserve">publications </w:t>
                      </w:r>
                      <w:r w:rsidR="006F58D1">
                        <w:rPr>
                          <w:sz w:val="22"/>
                          <w:szCs w:val="22"/>
                        </w:rPr>
                        <w:t>with her colleague</w:t>
                      </w:r>
                      <w:r w:rsidR="00826810">
                        <w:rPr>
                          <w:sz w:val="22"/>
                          <w:szCs w:val="22"/>
                        </w:rPr>
                        <w:t>s</w:t>
                      </w:r>
                      <w:r w:rsidR="00724325">
                        <w:rPr>
                          <w:sz w:val="22"/>
                          <w:szCs w:val="22"/>
                        </w:rPr>
                        <w:t xml:space="preserve">. </w:t>
                      </w:r>
                    </w:p>
                    <w:p w14:paraId="7A90DEBD" w14:textId="77777777" w:rsidR="00F02523" w:rsidRDefault="00F02523" w:rsidP="006F58D1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22BDEB87" w14:textId="77777777" w:rsidR="00F02523" w:rsidRDefault="00F02523" w:rsidP="00F02523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A388C1D" w14:textId="77777777" w:rsidR="00F02523" w:rsidRDefault="00F02523"/>
                  </w:txbxContent>
                </v:textbox>
              </v:shape>
            </w:pict>
          </mc:Fallback>
        </mc:AlternateContent>
      </w:r>
    </w:p>
    <w:p w14:paraId="46C7017D" w14:textId="7AEF4387" w:rsidR="006C1547" w:rsidRDefault="006C1547">
      <w:pPr>
        <w:rPr>
          <w:sz w:val="22"/>
          <w:szCs w:val="22"/>
        </w:rPr>
      </w:pPr>
    </w:p>
    <w:p w14:paraId="613A6379" w14:textId="5EFA7DDA" w:rsidR="006C1547" w:rsidRDefault="006C1547">
      <w:pPr>
        <w:rPr>
          <w:sz w:val="22"/>
          <w:szCs w:val="22"/>
        </w:rPr>
      </w:pPr>
    </w:p>
    <w:p w14:paraId="028F4799" w14:textId="07AA08EC" w:rsidR="00A90656" w:rsidRDefault="00A90656">
      <w:pPr>
        <w:rPr>
          <w:sz w:val="22"/>
          <w:szCs w:val="22"/>
        </w:rPr>
      </w:pPr>
    </w:p>
    <w:p w14:paraId="053A7CD5" w14:textId="27C82068" w:rsidR="00A90656" w:rsidRPr="00236744" w:rsidRDefault="00A90656">
      <w:pPr>
        <w:rPr>
          <w:sz w:val="22"/>
          <w:szCs w:val="22"/>
        </w:rPr>
      </w:pPr>
    </w:p>
    <w:sectPr w:rsidR="00A90656" w:rsidRPr="0023674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85FE8"/>
    <w:multiLevelType w:val="hybridMultilevel"/>
    <w:tmpl w:val="E654B29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C22CE5"/>
    <w:multiLevelType w:val="hybridMultilevel"/>
    <w:tmpl w:val="F894FF5E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638246">
    <w:abstractNumId w:val="1"/>
  </w:num>
  <w:num w:numId="2" w16cid:durableId="958028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44"/>
    <w:rsid w:val="00012DC8"/>
    <w:rsid w:val="000154FE"/>
    <w:rsid w:val="000C7861"/>
    <w:rsid w:val="000D0764"/>
    <w:rsid w:val="000D497D"/>
    <w:rsid w:val="000E2A5C"/>
    <w:rsid w:val="000F2CF9"/>
    <w:rsid w:val="00121287"/>
    <w:rsid w:val="0013733D"/>
    <w:rsid w:val="00143D67"/>
    <w:rsid w:val="001617A3"/>
    <w:rsid w:val="00166C17"/>
    <w:rsid w:val="00187BA2"/>
    <w:rsid w:val="00196C92"/>
    <w:rsid w:val="001C01BA"/>
    <w:rsid w:val="00236744"/>
    <w:rsid w:val="00294BBC"/>
    <w:rsid w:val="002B513C"/>
    <w:rsid w:val="002D1945"/>
    <w:rsid w:val="002D2892"/>
    <w:rsid w:val="002E5649"/>
    <w:rsid w:val="003B27CB"/>
    <w:rsid w:val="00405785"/>
    <w:rsid w:val="00421464"/>
    <w:rsid w:val="00465FD1"/>
    <w:rsid w:val="00473411"/>
    <w:rsid w:val="00474276"/>
    <w:rsid w:val="004B0119"/>
    <w:rsid w:val="004D661D"/>
    <w:rsid w:val="004F310B"/>
    <w:rsid w:val="0050140B"/>
    <w:rsid w:val="005056A4"/>
    <w:rsid w:val="00517771"/>
    <w:rsid w:val="00521332"/>
    <w:rsid w:val="00586BFE"/>
    <w:rsid w:val="005F3791"/>
    <w:rsid w:val="00634E6E"/>
    <w:rsid w:val="00697697"/>
    <w:rsid w:val="006B20DF"/>
    <w:rsid w:val="006C1547"/>
    <w:rsid w:val="006F58D1"/>
    <w:rsid w:val="00724325"/>
    <w:rsid w:val="007317A3"/>
    <w:rsid w:val="00733E85"/>
    <w:rsid w:val="00785905"/>
    <w:rsid w:val="007C2FBE"/>
    <w:rsid w:val="007F2D08"/>
    <w:rsid w:val="00807C74"/>
    <w:rsid w:val="00826810"/>
    <w:rsid w:val="008278D3"/>
    <w:rsid w:val="00840106"/>
    <w:rsid w:val="0086081C"/>
    <w:rsid w:val="00870318"/>
    <w:rsid w:val="008B3CBF"/>
    <w:rsid w:val="008D3CCA"/>
    <w:rsid w:val="009122BD"/>
    <w:rsid w:val="00917343"/>
    <w:rsid w:val="00984735"/>
    <w:rsid w:val="009A0F35"/>
    <w:rsid w:val="009D675A"/>
    <w:rsid w:val="009F5A02"/>
    <w:rsid w:val="00A20E10"/>
    <w:rsid w:val="00A32D2D"/>
    <w:rsid w:val="00A50427"/>
    <w:rsid w:val="00A73F52"/>
    <w:rsid w:val="00A76AB6"/>
    <w:rsid w:val="00A90656"/>
    <w:rsid w:val="00AB4EB6"/>
    <w:rsid w:val="00AD2B2F"/>
    <w:rsid w:val="00B01214"/>
    <w:rsid w:val="00B70D5E"/>
    <w:rsid w:val="00B71EB9"/>
    <w:rsid w:val="00BD6572"/>
    <w:rsid w:val="00C02F2F"/>
    <w:rsid w:val="00C05B0A"/>
    <w:rsid w:val="00C47924"/>
    <w:rsid w:val="00C634EA"/>
    <w:rsid w:val="00C74446"/>
    <w:rsid w:val="00CA0A2E"/>
    <w:rsid w:val="00D00BE4"/>
    <w:rsid w:val="00D322A4"/>
    <w:rsid w:val="00D335CB"/>
    <w:rsid w:val="00D81999"/>
    <w:rsid w:val="00DA40BC"/>
    <w:rsid w:val="00DF10B9"/>
    <w:rsid w:val="00E609A9"/>
    <w:rsid w:val="00E92A53"/>
    <w:rsid w:val="00E94E14"/>
    <w:rsid w:val="00ED62BA"/>
    <w:rsid w:val="00F02523"/>
    <w:rsid w:val="00F427F2"/>
    <w:rsid w:val="00F63D7A"/>
    <w:rsid w:val="00F6501B"/>
    <w:rsid w:val="00F67C7C"/>
    <w:rsid w:val="00F717DA"/>
    <w:rsid w:val="00F735B9"/>
    <w:rsid w:val="00FB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36B5E"/>
  <w15:chartTrackingRefBased/>
  <w15:docId w15:val="{AD1BF8C5-92C5-324B-9DB0-0419D012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744"/>
    <w:rPr>
      <w:rFonts w:ascii="Times New Roman" w:eastAsia="Times New Roman" w:hAnsi="Times New Roman" w:cs="Times New Roman"/>
      <w:kern w:val="0"/>
      <w:lang w:val="en-CA" w:eastAsia="fr-CA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367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367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CA"/>
      <w14:ligatures w14:val="none"/>
    </w:rPr>
  </w:style>
  <w:style w:type="paragraph" w:styleId="Paragraphedeliste">
    <w:name w:val="List Paragraph"/>
    <w:basedOn w:val="Normal"/>
    <w:uiPriority w:val="34"/>
    <w:qFormat/>
    <w:rsid w:val="006C1547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ar"/>
    <w:rsid w:val="006C1547"/>
  </w:style>
  <w:style w:type="character" w:customStyle="1" w:styleId="EndNoteBibliographyCar">
    <w:name w:val="EndNote Bibliography Car"/>
    <w:basedOn w:val="Policepardfaut"/>
    <w:link w:val="EndNoteBibliography"/>
    <w:rsid w:val="006C1547"/>
    <w:rPr>
      <w:rFonts w:ascii="Times New Roman" w:eastAsia="Times New Roman" w:hAnsi="Times New Roman" w:cs="Times New Roman"/>
      <w:kern w:val="0"/>
      <w:lang w:val="en-CA" w:eastAsia="fr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02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Bergeron</dc:creator>
  <cp:keywords/>
  <dc:description/>
  <cp:lastModifiedBy>Catherine Bergeron</cp:lastModifiedBy>
  <cp:revision>2</cp:revision>
  <cp:lastPrinted>2023-08-25T11:43:00Z</cp:lastPrinted>
  <dcterms:created xsi:type="dcterms:W3CDTF">2023-08-25T11:43:00Z</dcterms:created>
  <dcterms:modified xsi:type="dcterms:W3CDTF">2023-08-25T11:43:00Z</dcterms:modified>
</cp:coreProperties>
</file>