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841FD6" w14:textId="1A2D0BED" w:rsidR="007B1824" w:rsidRPr="00AD622D" w:rsidRDefault="003C578D" w:rsidP="00AD622D">
      <w:pPr>
        <w:pStyle w:val="Heading2"/>
        <w:spacing w:before="0"/>
        <w:rPr>
          <w:rFonts w:ascii="Times New Roman" w:hAnsi="Times New Roman" w:cs="Times New Roman"/>
          <w:b/>
          <w:bCs/>
          <w:color w:val="0563C1" w:themeColor="hyperlink"/>
          <w:sz w:val="28"/>
          <w:szCs w:val="20"/>
          <w:u w:val="single"/>
        </w:rPr>
      </w:pPr>
      <w:hyperlink r:id="rId8" w:history="1">
        <w:r w:rsidR="00AD622D" w:rsidRPr="00AD622D">
          <w:rPr>
            <w:rStyle w:val="Hyperlink"/>
            <w:rFonts w:ascii="Times New Roman" w:hAnsi="Times New Roman" w:cs="Times New Roman"/>
            <w:b/>
            <w:bCs/>
            <w:sz w:val="28"/>
            <w:szCs w:val="20"/>
          </w:rPr>
          <w:t>Evaluating the effects of low molecular weight sodium alginate as an immunostimulator, also as a novel prebiotic combined with Bactocell® (a probiotic) on humoral and mucosal immune responses of Asian seabass (</w:t>
        </w:r>
        <w:r w:rsidR="00AD622D" w:rsidRPr="00AD622D">
          <w:rPr>
            <w:rStyle w:val="Hyperlink"/>
            <w:rFonts w:ascii="Times New Roman" w:hAnsi="Times New Roman" w:cs="Times New Roman"/>
            <w:b/>
            <w:bCs/>
            <w:i/>
            <w:iCs/>
            <w:sz w:val="28"/>
            <w:szCs w:val="20"/>
          </w:rPr>
          <w:t>Lates calcalifer</w:t>
        </w:r>
        <w:r w:rsidR="00AD622D" w:rsidRPr="00AD622D">
          <w:rPr>
            <w:rStyle w:val="Hyperlink"/>
            <w:rFonts w:ascii="Times New Roman" w:hAnsi="Times New Roman" w:cs="Times New Roman"/>
            <w:b/>
            <w:bCs/>
            <w:sz w:val="28"/>
            <w:szCs w:val="20"/>
          </w:rPr>
          <w:t>) juveniles</w:t>
        </w:r>
        <w:r w:rsidR="00DE1CF6" w:rsidRPr="00AD622D">
          <w:rPr>
            <w:rStyle w:val="Hyperlink"/>
            <w:rFonts w:ascii="Times New Roman" w:hAnsi="Times New Roman" w:cs="Times New Roman"/>
            <w:b/>
            <w:bCs/>
            <w:i/>
            <w:iCs/>
            <w:sz w:val="28"/>
            <w:szCs w:val="20"/>
          </w:rPr>
          <w:t xml:space="preserve"> </w:t>
        </w:r>
      </w:hyperlink>
    </w:p>
    <w:p w14:paraId="6AC63A58" w14:textId="32954649" w:rsidR="00406DAF" w:rsidRPr="0037288E" w:rsidRDefault="00DE1CF6" w:rsidP="00B17175">
      <w:pPr>
        <w:pStyle w:val="BodyText"/>
        <w:spacing w:before="73" w:line="198" w:lineRule="exact"/>
        <w:ind w:right="5987"/>
        <w:rPr>
          <w:rFonts w:ascii="Times New Roman" w:hAnsi="Times New Roman" w:cs="Times New Roman"/>
          <w:sz w:val="16"/>
          <w:szCs w:val="16"/>
        </w:rPr>
      </w:pPr>
      <w:r w:rsidRPr="0037288E">
        <w:rPr>
          <w:rFonts w:ascii="Times New Roman" w:hAnsi="Times New Roman" w:cs="Times New Roman"/>
          <w:b/>
          <w:bCs/>
          <w:sz w:val="24"/>
          <w:szCs w:val="24"/>
        </w:rPr>
        <w:t>Gh</w:t>
      </w:r>
      <w:r>
        <w:rPr>
          <w:rFonts w:ascii="Times New Roman" w:hAnsi="Times New Roman" w:cs="Times New Roman"/>
          <w:sz w:val="24"/>
          <w:szCs w:val="24"/>
        </w:rPr>
        <w:t xml:space="preserve">asem </w:t>
      </w:r>
      <w:r w:rsidRPr="0037288E">
        <w:rPr>
          <w:rFonts w:ascii="Times New Roman" w:hAnsi="Times New Roman" w:cs="Times New Roman"/>
          <w:sz w:val="24"/>
          <w:szCs w:val="24"/>
        </w:rPr>
        <w:t>A</w:t>
      </w:r>
      <w:r>
        <w:rPr>
          <w:rFonts w:ascii="Times New Roman" w:hAnsi="Times New Roman" w:cs="Times New Roman"/>
          <w:sz w:val="24"/>
          <w:szCs w:val="24"/>
        </w:rPr>
        <w:t>shouri</w:t>
      </w:r>
      <w:r w:rsidRPr="00E30C5D">
        <w:rPr>
          <w:rFonts w:ascii="Times New Roman" w:hAnsi="Times New Roman" w:cs="Times New Roman"/>
          <w:sz w:val="24"/>
          <w:szCs w:val="24"/>
        </w:rPr>
        <w:t xml:space="preserve"> </w:t>
      </w:r>
      <w:r w:rsidRPr="00E30C5D">
        <w:rPr>
          <w:rFonts w:ascii="Times New Roman" w:hAnsi="Times New Roman" w:cs="Times New Roman"/>
          <w:sz w:val="24"/>
          <w:szCs w:val="24"/>
          <w:vertAlign w:val="superscript"/>
        </w:rPr>
        <w:t>*</w:t>
      </w:r>
      <w:r w:rsidR="0037288E">
        <w:rPr>
          <w:rFonts w:ascii="Times New Roman" w:hAnsi="Times New Roman" w:cs="Times New Roman"/>
          <w:sz w:val="24"/>
          <w:szCs w:val="24"/>
        </w:rPr>
        <w:t xml:space="preserve">, </w:t>
      </w:r>
      <w:r w:rsidR="0037288E" w:rsidRPr="0037288E">
        <w:rPr>
          <w:rFonts w:ascii="Times New Roman" w:hAnsi="Times New Roman" w:cs="Times New Roman"/>
          <w:sz w:val="20"/>
          <w:szCs w:val="20"/>
        </w:rPr>
        <w:t xml:space="preserve">PhD student, </w:t>
      </w:r>
      <w:r w:rsidR="00B17175" w:rsidRPr="00B17175">
        <w:rPr>
          <w:rFonts w:ascii="Times New Roman" w:eastAsia="Calibri" w:hAnsi="Times New Roman" w:cs="Times New Roman"/>
          <w:sz w:val="20"/>
          <w:szCs w:val="20"/>
          <w:lang w:bidi="fa-IR"/>
        </w:rPr>
        <w:t>Department of Natural Resources (Fisheries Division), Isfahan University of Technology, Isfahan 84156-83111, Iran</w:t>
      </w:r>
    </w:p>
    <w:p w14:paraId="1E54E274" w14:textId="77777777" w:rsidR="00B17175" w:rsidRDefault="0037288E" w:rsidP="00B17175">
      <w:pPr>
        <w:pStyle w:val="BodyText"/>
        <w:spacing w:before="73" w:line="198" w:lineRule="exact"/>
        <w:ind w:right="5987"/>
        <w:rPr>
          <w:rFonts w:ascii="Times New Roman" w:hAnsi="Times New Roman" w:cs="Times New Roman"/>
          <w:b/>
          <w:bCs/>
          <w:sz w:val="24"/>
          <w:szCs w:val="24"/>
        </w:rPr>
      </w:pPr>
      <w:r w:rsidRPr="0037288E">
        <w:rPr>
          <w:rFonts w:ascii="Times New Roman" w:eastAsia="Calibri" w:hAnsi="Times New Roman" w:cs="Times New Roman"/>
          <w:b/>
          <w:bCs/>
          <w:sz w:val="24"/>
          <w:szCs w:val="24"/>
        </w:rPr>
        <w:t>N</w:t>
      </w:r>
      <w:r w:rsidRPr="0037288E">
        <w:rPr>
          <w:rFonts w:ascii="Times New Roman" w:eastAsia="Calibri" w:hAnsi="Times New Roman" w:cs="Times New Roman"/>
          <w:sz w:val="24"/>
          <w:szCs w:val="24"/>
        </w:rPr>
        <w:t>asrollah Mahboobi Soofiani</w:t>
      </w:r>
      <w:r w:rsidR="005C2E3C" w:rsidRPr="006B5568">
        <w:rPr>
          <w:rFonts w:ascii="Times New Roman" w:hAnsi="Times New Roman" w:cs="Times New Roman"/>
          <w:sz w:val="20"/>
          <w:szCs w:val="20"/>
        </w:rPr>
        <w:t xml:space="preserve">, </w:t>
      </w:r>
      <w:r>
        <w:rPr>
          <w:rFonts w:ascii="Times New Roman" w:hAnsi="Times New Roman" w:cs="Times New Roman"/>
          <w:sz w:val="20"/>
          <w:szCs w:val="20"/>
        </w:rPr>
        <w:t xml:space="preserve">Professor, </w:t>
      </w:r>
      <w:r w:rsidR="00B17175" w:rsidRPr="00B17175">
        <w:rPr>
          <w:rFonts w:ascii="Times New Roman" w:eastAsia="Calibri" w:hAnsi="Times New Roman" w:cs="Times New Roman"/>
          <w:sz w:val="20"/>
          <w:szCs w:val="20"/>
          <w:lang w:bidi="fa-IR"/>
        </w:rPr>
        <w:t>Department of Natural Resources (Fisheries Division), Isfahan University of Technology, Isfahan 84156-83111, Iran</w:t>
      </w:r>
    </w:p>
    <w:p w14:paraId="32DB3D0B" w14:textId="398045CC" w:rsidR="0037288E" w:rsidRDefault="0037288E" w:rsidP="00B17175">
      <w:pPr>
        <w:pStyle w:val="BodyText"/>
        <w:spacing w:before="73" w:line="198" w:lineRule="exact"/>
        <w:ind w:right="5987"/>
        <w:rPr>
          <w:rFonts w:ascii="Times New Roman" w:hAnsi="Times New Roman" w:cs="Times New Roman"/>
          <w:sz w:val="16"/>
          <w:szCs w:val="16"/>
        </w:rPr>
      </w:pPr>
      <w:r w:rsidRPr="0037288E">
        <w:rPr>
          <w:rFonts w:ascii="Times New Roman" w:hAnsi="Times New Roman" w:cs="Times New Roman"/>
          <w:b/>
          <w:bCs/>
          <w:sz w:val="24"/>
          <w:szCs w:val="24"/>
        </w:rPr>
        <w:t>S</w:t>
      </w:r>
      <w:r w:rsidRPr="00E30C5D">
        <w:rPr>
          <w:rFonts w:ascii="Times New Roman" w:hAnsi="Times New Roman" w:cs="Times New Roman"/>
          <w:sz w:val="24"/>
          <w:szCs w:val="24"/>
        </w:rPr>
        <w:t xml:space="preserve">eyed </w:t>
      </w:r>
      <w:r w:rsidRPr="0037288E">
        <w:rPr>
          <w:rFonts w:ascii="Times New Roman" w:hAnsi="Times New Roman" w:cs="Times New Roman"/>
          <w:b/>
          <w:bCs/>
          <w:sz w:val="24"/>
          <w:szCs w:val="24"/>
        </w:rPr>
        <w:t>H</w:t>
      </w:r>
      <w:r w:rsidRPr="00E30C5D">
        <w:rPr>
          <w:rFonts w:ascii="Times New Roman" w:hAnsi="Times New Roman" w:cs="Times New Roman"/>
          <w:sz w:val="24"/>
          <w:szCs w:val="24"/>
        </w:rPr>
        <w:t>ossein Hoseinifar</w:t>
      </w:r>
      <w:r>
        <w:rPr>
          <w:rFonts w:ascii="Times New Roman" w:hAnsi="Times New Roman" w:cs="Times New Roman"/>
          <w:sz w:val="20"/>
          <w:szCs w:val="20"/>
        </w:rPr>
        <w:t xml:space="preserve">, Professor, </w:t>
      </w:r>
      <w:r w:rsidRPr="0037288E">
        <w:rPr>
          <w:rFonts w:ascii="Times New Roman" w:hAnsi="Times New Roman" w:cs="Times New Roman"/>
          <w:sz w:val="20"/>
          <w:szCs w:val="20"/>
        </w:rPr>
        <w:t>Department of Fisheries, Faculty of Fisheries and Environmental Sciences, Gorgan University of Agricultural Sciences and Natural Resources, Gorgan, Iran.</w:t>
      </w:r>
    </w:p>
    <w:p w14:paraId="02DE29C1" w14:textId="32B03B70" w:rsidR="0037288E" w:rsidRPr="0037288E" w:rsidRDefault="0037288E" w:rsidP="00B17175">
      <w:pPr>
        <w:pStyle w:val="BodyText"/>
        <w:spacing w:before="73" w:line="198" w:lineRule="exact"/>
        <w:ind w:right="5987"/>
        <w:rPr>
          <w:rFonts w:ascii="Times New Roman" w:hAnsi="Times New Roman" w:cs="Times New Roman"/>
          <w:sz w:val="16"/>
          <w:szCs w:val="16"/>
        </w:rPr>
      </w:pPr>
      <w:r w:rsidRPr="0037288E">
        <w:rPr>
          <w:rFonts w:ascii="Times New Roman" w:eastAsia="Calibri" w:hAnsi="Times New Roman" w:cs="Times New Roman"/>
          <w:b/>
          <w:bCs/>
          <w:sz w:val="26"/>
          <w:szCs w:val="26"/>
          <w:lang w:bidi="fa-IR"/>
        </w:rPr>
        <w:t>A</w:t>
      </w:r>
      <w:r w:rsidRPr="0037288E">
        <w:rPr>
          <w:rFonts w:ascii="Times New Roman" w:eastAsia="Calibri" w:hAnsi="Times New Roman" w:cs="Times New Roman"/>
          <w:sz w:val="26"/>
          <w:szCs w:val="26"/>
          <w:lang w:bidi="fa-IR"/>
        </w:rPr>
        <w:t>mir Mani</w:t>
      </w:r>
      <w:r>
        <w:rPr>
          <w:rFonts w:ascii="Times New Roman" w:hAnsi="Times New Roman" w:cs="Times New Roman"/>
          <w:sz w:val="16"/>
          <w:szCs w:val="16"/>
        </w:rPr>
        <w:t xml:space="preserve">, PhD student, </w:t>
      </w:r>
      <w:r w:rsidR="00B17175" w:rsidRPr="00B17175">
        <w:rPr>
          <w:rFonts w:ascii="Times New Roman" w:eastAsia="Calibri" w:hAnsi="Times New Roman" w:cs="Times New Roman"/>
          <w:sz w:val="20"/>
          <w:szCs w:val="20"/>
          <w:lang w:bidi="fa-IR"/>
        </w:rPr>
        <w:t>Department of Natural Resources (Fisheries Division), Isfahan University of Technology, Isfahan 84156-83111, Iran</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82B2218" w14:textId="01E84EE6" w:rsidR="00AF7A3A" w:rsidRPr="00AD622D" w:rsidRDefault="001412D5" w:rsidP="00AD622D">
      <w:pPr>
        <w:autoSpaceDE w:val="0"/>
        <w:autoSpaceDN w:val="0"/>
        <w:adjustRightInd w:val="0"/>
        <w:jc w:val="both"/>
        <w:rPr>
          <w:rFonts w:ascii="Times New Roman" w:hAnsi="Times New Roman" w:cs="Times New Roman"/>
          <w:sz w:val="24"/>
          <w:szCs w:val="24"/>
          <w:lang w:bidi="fa-IR"/>
        </w:rPr>
      </w:pPr>
      <w:r w:rsidRPr="00AD622D">
        <w:rPr>
          <w:rFonts w:ascii="Times New Roman" w:hAnsi="Times New Roman" w:cs="Times New Roman"/>
          <w:sz w:val="24"/>
          <w:szCs w:val="24"/>
        </w:rPr>
        <w:t>During the past decade, aquaculture has been considered as one of the fastest-growing industries of food production. The elevation of aquatic animal production has been obtained by increasing the production per unit of area which per se results from intensification. However, the elevation of stocking density in aquaculture practices increases the stress level in the cultured organism and the risk of diseases.</w:t>
      </w:r>
      <w:r w:rsidR="007761CF" w:rsidRPr="00AD622D">
        <w:rPr>
          <w:rFonts w:ascii="Times New Roman" w:hAnsi="Times New Roman" w:cs="Times New Roman"/>
          <w:sz w:val="24"/>
          <w:szCs w:val="24"/>
        </w:rPr>
        <w:t xml:space="preserve"> Following the 2006 EU ban on antimicrobial growth promoters, to reduce use of antibiotics chemical compounds in agri-business products have arisen. </w:t>
      </w:r>
      <w:r w:rsidR="00481722" w:rsidRPr="00AD622D">
        <w:rPr>
          <w:rFonts w:ascii="Times New Roman" w:hAnsi="Times New Roman" w:cs="Times New Roman"/>
          <w:sz w:val="24"/>
          <w:szCs w:val="24"/>
          <w:lang w:bidi="fa-IR"/>
        </w:rPr>
        <w:t>Therefore, application of bioactive substances, such as probiotics and prebiotics as an alternative to antibiotics has been considered as environmentally friendly tool for aquaculture.</w:t>
      </w:r>
      <w:r w:rsidR="00AF7A3A" w:rsidRPr="00AD622D">
        <w:rPr>
          <w:rFonts w:ascii="Times New Roman" w:hAnsi="Times New Roman" w:cs="Times New Roman"/>
          <w:sz w:val="28"/>
          <w:szCs w:val="28"/>
          <w:lang w:bidi="fa-IR"/>
        </w:rPr>
        <w:t xml:space="preserve"> </w:t>
      </w:r>
      <w:r w:rsidR="00AF7A3A" w:rsidRPr="00AD622D">
        <w:rPr>
          <w:rFonts w:ascii="Times New Roman" w:hAnsi="Times New Roman" w:cs="Times New Roman"/>
          <w:sz w:val="24"/>
          <w:szCs w:val="24"/>
          <w:lang w:bidi="fa-IR"/>
        </w:rPr>
        <w:t>Interest in the use of prebiotics and probiotics in aquaculture increased considerably over the past several years due to the beneficial effects reported for these diet additives in humans and terrestrial animals, including enhanced production efficiency, increased nutrient utilization, .and improved disease resistance.</w:t>
      </w:r>
      <w:r w:rsidR="00AD622D" w:rsidRPr="00AD622D">
        <w:rPr>
          <w:sz w:val="28"/>
          <w:szCs w:val="28"/>
        </w:rPr>
        <w:t xml:space="preserve"> </w:t>
      </w:r>
      <w:r w:rsidR="00AD622D" w:rsidRPr="00AD622D">
        <w:rPr>
          <w:rFonts w:ascii="Times New Roman" w:hAnsi="Times New Roman" w:cs="Times New Roman"/>
          <w:sz w:val="24"/>
          <w:szCs w:val="24"/>
          <w:lang w:bidi="fa-IR"/>
        </w:rPr>
        <w:t xml:space="preserve">Using immunostimulants as bio-friendly and environmentally safe agents is an alternative approach to combat diseases in aquaculture. Therefore, present study performed to evaluate the potential effect of individual or combined administration of dietary low molecular weight sodium alginate (LMWSA) and Bactocell® on haematological, humoral and skin mucosal immune responses of </w:t>
      </w:r>
      <w:r w:rsidR="00AD622D" w:rsidRPr="00AD622D">
        <w:rPr>
          <w:rFonts w:ascii="Times New Roman" w:hAnsi="Times New Roman" w:cs="Times New Roman"/>
          <w:i/>
          <w:iCs/>
          <w:sz w:val="24"/>
          <w:szCs w:val="24"/>
          <w:lang w:bidi="fa-IR"/>
        </w:rPr>
        <w:t>L. calcarifer</w:t>
      </w:r>
      <w:r w:rsidR="00AD622D" w:rsidRPr="00AD622D">
        <w:rPr>
          <w:rFonts w:ascii="Times New Roman" w:hAnsi="Times New Roman" w:cs="Times New Roman"/>
          <w:sz w:val="24"/>
          <w:szCs w:val="24"/>
          <w:lang w:bidi="fa-IR"/>
        </w:rPr>
        <w:t xml:space="preserve">  juveniles.</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bookmarkStart w:id="0" w:name="_GoBack"/>
      <w:bookmarkEnd w:id="0"/>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0F0FC45" w14:textId="34CA659A" w:rsidR="00AF7A3A" w:rsidRPr="00AD622D" w:rsidRDefault="00205F59" w:rsidP="00AD622D">
      <w:pPr>
        <w:pStyle w:val="BodyText"/>
        <w:spacing w:before="90" w:line="278" w:lineRule="auto"/>
        <w:rPr>
          <w:rFonts w:ascii="Times New Roman" w:hAnsi="Times New Roman" w:cs="Times New Roman"/>
          <w:b/>
          <w:color w:val="BF5A14"/>
          <w:sz w:val="24"/>
          <w:szCs w:val="24"/>
        </w:rPr>
      </w:pPr>
      <w:r w:rsidRPr="00AD622D">
        <w:rPr>
          <w:rFonts w:ascii="Times New Roman" w:hAnsi="Times New Roman" w:cs="Times New Roman"/>
          <w:color w:val="000000"/>
          <w:sz w:val="24"/>
          <w:szCs w:val="24"/>
        </w:rPr>
        <w:t xml:space="preserve">In this study six weeks of feeding trial was conducted to examine the effect of dietary administration of low molecular weight sodium alginate (LMWSA) and </w:t>
      </w:r>
      <w:r w:rsidRPr="00AD622D">
        <w:rPr>
          <w:rFonts w:ascii="Times New Roman" w:hAnsi="Times New Roman" w:cs="Times New Roman"/>
          <w:i/>
          <w:iCs/>
          <w:color w:val="000000"/>
          <w:sz w:val="24"/>
          <w:szCs w:val="24"/>
        </w:rPr>
        <w:t xml:space="preserve">Pediococcus acidilactici </w:t>
      </w:r>
      <w:r w:rsidRPr="00AD622D">
        <w:rPr>
          <w:rFonts w:ascii="Times New Roman" w:hAnsi="Times New Roman" w:cs="Times New Roman"/>
          <w:color w:val="000000"/>
          <w:sz w:val="24"/>
          <w:szCs w:val="24"/>
          <w:lang w:bidi="fa-IR"/>
        </w:rPr>
        <w:t>MA 18/5M</w:t>
      </w:r>
      <w:r w:rsidRPr="00AD622D">
        <w:rPr>
          <w:rFonts w:ascii="Times New Roman" w:hAnsi="Times New Roman" w:cs="Times New Roman"/>
          <w:color w:val="000000"/>
          <w:sz w:val="24"/>
          <w:szCs w:val="24"/>
        </w:rPr>
        <w:t xml:space="preserve"> (PA)</w:t>
      </w:r>
      <w:r w:rsidRPr="00AD622D">
        <w:rPr>
          <w:rFonts w:ascii="Times New Roman" w:hAnsi="Times New Roman" w:cs="Times New Roman"/>
          <w:color w:val="000000"/>
          <w:sz w:val="24"/>
          <w:szCs w:val="24"/>
          <w:lang w:bidi="fa-IR"/>
        </w:rPr>
        <w:t xml:space="preserve"> on </w:t>
      </w:r>
      <w:r w:rsidRPr="00AD622D">
        <w:rPr>
          <w:rFonts w:ascii="Times New Roman" w:hAnsi="Times New Roman" w:cs="Times New Roman"/>
          <w:sz w:val="24"/>
          <w:szCs w:val="24"/>
          <w:lang w:bidi="fa-IR"/>
        </w:rPr>
        <w:t>growth performance, digestive enzymes, and intestinal histology</w:t>
      </w:r>
      <w:r w:rsidRPr="00AD622D">
        <w:rPr>
          <w:rFonts w:ascii="Times New Roman" w:hAnsi="Times New Roman" w:cs="Times New Roman"/>
          <w:color w:val="000000"/>
          <w:sz w:val="24"/>
          <w:szCs w:val="24"/>
          <w:lang w:bidi="fa-IR"/>
        </w:rPr>
        <w:t xml:space="preserve"> of </w:t>
      </w:r>
      <w:r w:rsidRPr="00AD622D">
        <w:rPr>
          <w:rFonts w:ascii="Times New Roman" w:hAnsi="Times New Roman" w:cs="Times New Roman"/>
          <w:i/>
          <w:iCs/>
          <w:color w:val="000000"/>
          <w:sz w:val="24"/>
          <w:szCs w:val="24"/>
          <w:lang w:bidi="fa-IR"/>
        </w:rPr>
        <w:t xml:space="preserve">Lates calcarifer </w:t>
      </w:r>
      <w:r w:rsidRPr="00AD622D">
        <w:rPr>
          <w:rFonts w:ascii="Times New Roman" w:hAnsi="Times New Roman" w:cs="Times New Roman"/>
          <w:color w:val="000000"/>
          <w:sz w:val="24"/>
          <w:szCs w:val="24"/>
          <w:lang w:bidi="fa-IR"/>
        </w:rPr>
        <w:t>juveniles</w:t>
      </w:r>
      <w:r w:rsidRPr="00AD622D">
        <w:rPr>
          <w:rFonts w:ascii="Times New Roman" w:eastAsia="Times New Roman" w:hAnsi="Times New Roman" w:cs="Times New Roman"/>
          <w:color w:val="000000"/>
          <w:sz w:val="24"/>
          <w:szCs w:val="24"/>
        </w:rPr>
        <w:t xml:space="preserve">. Fish (12.0 ± 0.2 g ) were fed </w:t>
      </w:r>
      <w:r w:rsidRPr="00AD622D">
        <w:rPr>
          <w:rFonts w:ascii="Times New Roman" w:hAnsi="Times New Roman" w:cs="Times New Roman"/>
          <w:color w:val="000000"/>
          <w:sz w:val="24"/>
          <w:szCs w:val="24"/>
          <w:lang w:bidi="fa-IR"/>
        </w:rPr>
        <w:t>experimental diets as follows: Control (diet 1, basal diet), 5 g kg</w:t>
      </w:r>
      <w:r w:rsidRPr="00AD622D">
        <w:rPr>
          <w:rFonts w:ascii="Times New Roman" w:hAnsi="Times New Roman" w:cs="Times New Roman"/>
          <w:color w:val="000000"/>
          <w:sz w:val="24"/>
          <w:szCs w:val="24"/>
          <w:vertAlign w:val="superscript"/>
          <w:lang w:bidi="fa-IR"/>
        </w:rPr>
        <w:t xml:space="preserve">-1 </w:t>
      </w:r>
      <w:r w:rsidRPr="00AD622D">
        <w:rPr>
          <w:rFonts w:ascii="Times New Roman" w:hAnsi="Times New Roman" w:cs="Times New Roman"/>
          <w:color w:val="000000"/>
          <w:sz w:val="24"/>
          <w:szCs w:val="24"/>
          <w:lang w:bidi="fa-IR"/>
        </w:rPr>
        <w:t>LMWSA (diet 2), 10 g kg</w:t>
      </w:r>
      <w:r w:rsidRPr="00AD622D">
        <w:rPr>
          <w:rFonts w:ascii="Times New Roman" w:hAnsi="Times New Roman" w:cs="Times New Roman"/>
          <w:color w:val="000000"/>
          <w:sz w:val="24"/>
          <w:szCs w:val="24"/>
          <w:vertAlign w:val="superscript"/>
          <w:lang w:bidi="fa-IR"/>
        </w:rPr>
        <w:t xml:space="preserve">-1 </w:t>
      </w:r>
      <w:r w:rsidRPr="00AD622D">
        <w:rPr>
          <w:rFonts w:ascii="Times New Roman" w:hAnsi="Times New Roman" w:cs="Times New Roman"/>
          <w:color w:val="000000"/>
          <w:sz w:val="24"/>
          <w:szCs w:val="24"/>
          <w:lang w:bidi="fa-IR"/>
        </w:rPr>
        <w:t>LMWSA (diet 3), 0.9 × 10</w:t>
      </w:r>
      <w:r w:rsidRPr="00AD622D">
        <w:rPr>
          <w:rFonts w:ascii="Times New Roman" w:hAnsi="Times New Roman" w:cs="Times New Roman"/>
          <w:color w:val="000000"/>
          <w:sz w:val="24"/>
          <w:szCs w:val="24"/>
          <w:vertAlign w:val="superscript"/>
          <w:lang w:bidi="fa-IR"/>
        </w:rPr>
        <w:t xml:space="preserve">7 </w:t>
      </w:r>
      <w:r w:rsidRPr="00AD622D">
        <w:rPr>
          <w:rFonts w:ascii="Times New Roman" w:hAnsi="Times New Roman" w:cs="Times New Roman"/>
          <w:color w:val="000000"/>
          <w:sz w:val="24"/>
          <w:szCs w:val="24"/>
          <w:lang w:bidi="fa-IR"/>
        </w:rPr>
        <w:t>CFU g</w:t>
      </w:r>
      <w:r w:rsidRPr="00AD622D">
        <w:rPr>
          <w:rFonts w:ascii="Times New Roman" w:hAnsi="Times New Roman" w:cs="Times New Roman"/>
          <w:color w:val="000000"/>
          <w:sz w:val="24"/>
          <w:szCs w:val="24"/>
          <w:vertAlign w:val="superscript"/>
          <w:lang w:bidi="fa-IR"/>
        </w:rPr>
        <w:t>-1</w:t>
      </w:r>
      <w:r w:rsidRPr="00AD622D">
        <w:rPr>
          <w:rFonts w:ascii="Times New Roman" w:hAnsi="Times New Roman" w:cs="Times New Roman"/>
          <w:color w:val="000000"/>
          <w:sz w:val="24"/>
          <w:szCs w:val="24"/>
          <w:lang w:bidi="fa-IR"/>
        </w:rPr>
        <w:t xml:space="preserve"> PA</w:t>
      </w:r>
      <w:r w:rsidRPr="00AD622D">
        <w:rPr>
          <w:rFonts w:ascii="Times New Roman" w:hAnsi="Times New Roman" w:cs="Times New Roman"/>
          <w:i/>
          <w:iCs/>
          <w:color w:val="000000"/>
          <w:sz w:val="24"/>
          <w:szCs w:val="24"/>
          <w:lang w:bidi="fa-IR"/>
        </w:rPr>
        <w:t xml:space="preserve"> </w:t>
      </w:r>
      <w:r w:rsidRPr="00AD622D">
        <w:rPr>
          <w:rFonts w:ascii="Times New Roman" w:hAnsi="Times New Roman" w:cs="Times New Roman"/>
          <w:color w:val="000000"/>
          <w:sz w:val="24"/>
          <w:szCs w:val="24"/>
          <w:lang w:bidi="fa-IR"/>
        </w:rPr>
        <w:t>(diet 4), 5 g kg</w:t>
      </w:r>
      <w:r w:rsidRPr="00AD622D">
        <w:rPr>
          <w:rFonts w:ascii="Times New Roman" w:hAnsi="Times New Roman" w:cs="Times New Roman"/>
          <w:color w:val="000000"/>
          <w:sz w:val="24"/>
          <w:szCs w:val="24"/>
          <w:vertAlign w:val="superscript"/>
          <w:lang w:bidi="fa-IR"/>
        </w:rPr>
        <w:t xml:space="preserve">-1 </w:t>
      </w:r>
      <w:r w:rsidRPr="00AD622D">
        <w:rPr>
          <w:rFonts w:ascii="Times New Roman" w:hAnsi="Times New Roman" w:cs="Times New Roman"/>
          <w:color w:val="000000"/>
          <w:sz w:val="24"/>
          <w:szCs w:val="24"/>
          <w:lang w:bidi="fa-IR"/>
        </w:rPr>
        <w:t>LMWSA + 0.9 × 10</w:t>
      </w:r>
      <w:r w:rsidRPr="00AD622D">
        <w:rPr>
          <w:rFonts w:ascii="Times New Roman" w:hAnsi="Times New Roman" w:cs="Times New Roman"/>
          <w:color w:val="000000"/>
          <w:sz w:val="24"/>
          <w:szCs w:val="24"/>
          <w:vertAlign w:val="superscript"/>
          <w:lang w:bidi="fa-IR"/>
        </w:rPr>
        <w:t xml:space="preserve">7 </w:t>
      </w:r>
      <w:r w:rsidRPr="00AD622D">
        <w:rPr>
          <w:rFonts w:ascii="Times New Roman" w:hAnsi="Times New Roman" w:cs="Times New Roman"/>
          <w:color w:val="000000"/>
          <w:sz w:val="24"/>
          <w:szCs w:val="24"/>
          <w:lang w:bidi="fa-IR"/>
        </w:rPr>
        <w:t>CFU g</w:t>
      </w:r>
      <w:r w:rsidRPr="00AD622D">
        <w:rPr>
          <w:rFonts w:ascii="Times New Roman" w:hAnsi="Times New Roman" w:cs="Times New Roman"/>
          <w:color w:val="000000"/>
          <w:sz w:val="24"/>
          <w:szCs w:val="24"/>
          <w:vertAlign w:val="superscript"/>
          <w:lang w:bidi="fa-IR"/>
        </w:rPr>
        <w:t>-1</w:t>
      </w:r>
      <w:r w:rsidRPr="00AD622D">
        <w:rPr>
          <w:rFonts w:ascii="Times New Roman" w:hAnsi="Times New Roman" w:cs="Times New Roman"/>
          <w:color w:val="000000"/>
          <w:sz w:val="24"/>
          <w:szCs w:val="24"/>
          <w:lang w:bidi="fa-IR"/>
        </w:rPr>
        <w:t xml:space="preserve"> PA</w:t>
      </w:r>
      <w:r w:rsidRPr="00AD622D">
        <w:rPr>
          <w:rFonts w:ascii="Times New Roman" w:hAnsi="Times New Roman" w:cs="Times New Roman"/>
          <w:i/>
          <w:iCs/>
          <w:color w:val="000000"/>
          <w:sz w:val="24"/>
          <w:szCs w:val="24"/>
          <w:lang w:bidi="fa-IR"/>
        </w:rPr>
        <w:t xml:space="preserve"> </w:t>
      </w:r>
      <w:r w:rsidRPr="00AD622D">
        <w:rPr>
          <w:rFonts w:ascii="Times New Roman" w:hAnsi="Times New Roman" w:cs="Times New Roman"/>
          <w:color w:val="000000"/>
          <w:sz w:val="24"/>
          <w:szCs w:val="24"/>
          <w:lang w:bidi="fa-IR"/>
        </w:rPr>
        <w:t>(Diet 5), and 10 g kg</w:t>
      </w:r>
      <w:r w:rsidRPr="00AD622D">
        <w:rPr>
          <w:rFonts w:ascii="Times New Roman" w:hAnsi="Times New Roman" w:cs="Times New Roman"/>
          <w:color w:val="000000"/>
          <w:sz w:val="24"/>
          <w:szCs w:val="24"/>
          <w:vertAlign w:val="superscript"/>
          <w:lang w:bidi="fa-IR"/>
        </w:rPr>
        <w:t xml:space="preserve">-1 </w:t>
      </w:r>
      <w:r w:rsidRPr="00AD622D">
        <w:rPr>
          <w:rFonts w:ascii="Times New Roman" w:hAnsi="Times New Roman" w:cs="Times New Roman"/>
          <w:color w:val="000000"/>
          <w:sz w:val="24"/>
          <w:szCs w:val="24"/>
          <w:lang w:bidi="fa-IR"/>
        </w:rPr>
        <w:t>LMWSA + 0.9 × 10</w:t>
      </w:r>
      <w:r w:rsidRPr="00AD622D">
        <w:rPr>
          <w:rFonts w:ascii="Times New Roman" w:hAnsi="Times New Roman" w:cs="Times New Roman"/>
          <w:color w:val="000000"/>
          <w:sz w:val="24"/>
          <w:szCs w:val="24"/>
          <w:vertAlign w:val="superscript"/>
          <w:lang w:bidi="fa-IR"/>
        </w:rPr>
        <w:t xml:space="preserve">7 </w:t>
      </w:r>
      <w:r w:rsidRPr="00AD622D">
        <w:rPr>
          <w:rFonts w:ascii="Times New Roman" w:hAnsi="Times New Roman" w:cs="Times New Roman"/>
          <w:color w:val="000000"/>
          <w:sz w:val="24"/>
          <w:szCs w:val="24"/>
          <w:lang w:bidi="fa-IR"/>
        </w:rPr>
        <w:t>CFU g</w:t>
      </w:r>
      <w:r w:rsidRPr="00AD622D">
        <w:rPr>
          <w:rFonts w:ascii="Times New Roman" w:hAnsi="Times New Roman" w:cs="Times New Roman"/>
          <w:color w:val="000000"/>
          <w:sz w:val="24"/>
          <w:szCs w:val="24"/>
          <w:vertAlign w:val="superscript"/>
          <w:lang w:bidi="fa-IR"/>
        </w:rPr>
        <w:t>-1</w:t>
      </w:r>
      <w:r w:rsidRPr="00AD622D">
        <w:rPr>
          <w:rFonts w:ascii="Times New Roman" w:hAnsi="Times New Roman" w:cs="Times New Roman"/>
          <w:color w:val="000000"/>
          <w:sz w:val="24"/>
          <w:szCs w:val="24"/>
          <w:lang w:bidi="fa-IR"/>
        </w:rPr>
        <w:t xml:space="preserve"> PA (Diet 6)</w:t>
      </w:r>
      <w:r w:rsidR="00AD622D" w:rsidRPr="00AD622D">
        <w:rPr>
          <w:rFonts w:ascii="Times New Roman" w:hAnsi="Times New Roman" w:cs="Times New Roman"/>
          <w:color w:val="000000"/>
          <w:sz w:val="24"/>
          <w:szCs w:val="24"/>
          <w:lang w:bidi="fa-IR"/>
        </w:rPr>
        <w:t>.</w:t>
      </w:r>
      <w:r w:rsidR="00AD622D" w:rsidRPr="00AD622D">
        <w:rPr>
          <w:sz w:val="24"/>
          <w:szCs w:val="24"/>
        </w:rPr>
        <w:t xml:space="preserve"> </w:t>
      </w:r>
      <w:r w:rsidR="00AD622D" w:rsidRPr="00AD622D">
        <w:rPr>
          <w:rFonts w:ascii="Times New Roman" w:hAnsi="Times New Roman" w:cs="Times New Roman"/>
          <w:color w:val="000000"/>
          <w:sz w:val="24"/>
          <w:szCs w:val="24"/>
          <w:lang w:bidi="fa-IR"/>
        </w:rPr>
        <w:t>At the end of the trial, blood samples from the caudal vein and skin mucus were collected for evaluation of immunological parameters.</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66EF62EC" w14:textId="6E58E349" w:rsidR="00205F59" w:rsidRDefault="00AD622D" w:rsidP="00AD622D">
      <w:pPr>
        <w:pStyle w:val="BodyText"/>
        <w:spacing w:before="90" w:line="278" w:lineRule="auto"/>
        <w:rPr>
          <w:rFonts w:ascii="Times New Roman" w:hAnsi="Times New Roman" w:cs="Times New Roman"/>
          <w:b/>
          <w:color w:val="BF5A14"/>
          <w:sz w:val="20"/>
          <w:szCs w:val="20"/>
        </w:rPr>
      </w:pPr>
      <w:r w:rsidRPr="00AD622D">
        <w:rPr>
          <w:rFonts w:ascii="Times New Roman" w:eastAsia="Calibri" w:hAnsi="Times New Roman" w:cs="Times New Roman"/>
          <w:color w:val="000000"/>
          <w:sz w:val="24"/>
          <w:szCs w:val="24"/>
          <w:lang w:bidi="fa-IR"/>
        </w:rPr>
        <w:t>Results indicated a significant (P &lt; 0.05) increase in innate immune parameters including serum lysozyme, bactericidal, hemolytic and respiratory burst activities as well as mucosal immune responses including lysozyme and bactericidal activities when diet was supplemented with immunostimulants. Moreover, the combined effects of LMWSA with Bactocell® resulted in more pronounced immunological responses compared to the control and singular administration. Red and white blood cell counts significantly increased with either singular or combined administration of LMWSA and Bactocell® compared with the control group (P &lt; 0.05).</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lastRenderedPageBreak/>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5538BA25" w14:textId="0EF5D59D" w:rsidR="00205F59" w:rsidRDefault="00AD622D" w:rsidP="00AD622D">
      <w:pPr>
        <w:pStyle w:val="BodyText"/>
        <w:spacing w:before="90" w:line="278" w:lineRule="auto"/>
        <w:rPr>
          <w:rFonts w:ascii="Times New Roman" w:hAnsi="Times New Roman" w:cs="Times New Roman"/>
          <w:b/>
          <w:color w:val="BF5A14"/>
          <w:sz w:val="20"/>
          <w:szCs w:val="20"/>
        </w:rPr>
      </w:pPr>
      <w:r w:rsidRPr="00AD622D">
        <w:rPr>
          <w:rFonts w:ascii="Times New Roman" w:eastAsia="Calibri" w:hAnsi="Times New Roman" w:cs="Times New Roman"/>
          <w:sz w:val="24"/>
          <w:szCs w:val="24"/>
        </w:rPr>
        <w:t xml:space="preserve">These results indicated that combined administration of LMWSA and Bactocell® can be considered as a beneficial feed additive and immunostimulant in </w:t>
      </w:r>
      <w:r w:rsidRPr="00C402E2">
        <w:rPr>
          <w:rFonts w:ascii="Times New Roman" w:eastAsia="Calibri" w:hAnsi="Times New Roman" w:cs="Times New Roman"/>
          <w:i/>
          <w:iCs/>
          <w:sz w:val="24"/>
          <w:szCs w:val="24"/>
        </w:rPr>
        <w:t>L. calcarifer</w:t>
      </w:r>
      <w:r w:rsidRPr="00AD622D">
        <w:rPr>
          <w:rFonts w:ascii="Times New Roman" w:eastAsia="Calibri" w:hAnsi="Times New Roman" w:cs="Times New Roman"/>
          <w:sz w:val="24"/>
          <w:szCs w:val="24"/>
        </w:rPr>
        <w:t xml:space="preserve"> juveniles.</w:t>
      </w:r>
    </w:p>
    <w:p w14:paraId="3AC994DB" w14:textId="77777777" w:rsidR="00784E71" w:rsidRDefault="00784E71" w:rsidP="00254333">
      <w:pPr>
        <w:pStyle w:val="BodyText"/>
        <w:spacing w:before="90" w:line="278" w:lineRule="auto"/>
        <w:rPr>
          <w:rFonts w:ascii="Times New Roman" w:hAnsi="Times New Roman" w:cs="Times New Roman"/>
          <w:b/>
          <w:color w:val="BF5A14"/>
          <w:sz w:val="20"/>
          <w:szCs w:val="20"/>
        </w:rPr>
      </w:pPr>
    </w:p>
    <w:p w14:paraId="62607910" w14:textId="77777777" w:rsidR="00784E71" w:rsidRDefault="00784E71" w:rsidP="00254333">
      <w:pPr>
        <w:pStyle w:val="BodyText"/>
        <w:spacing w:before="90" w:line="278" w:lineRule="auto"/>
        <w:rPr>
          <w:rFonts w:ascii="Times New Roman" w:hAnsi="Times New Roman" w:cs="Times New Roman"/>
          <w:b/>
          <w:color w:val="BF5A14"/>
          <w:sz w:val="20"/>
          <w:szCs w:val="20"/>
        </w:rPr>
      </w:pPr>
    </w:p>
    <w:p w14:paraId="3D154A76" w14:textId="77777777" w:rsidR="005C2E3C"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2A113D0C" w14:textId="02DEA1A4" w:rsidR="00784E71" w:rsidRDefault="00C402E2" w:rsidP="00C402E2">
      <w:pPr>
        <w:pStyle w:val="BodyText"/>
        <w:spacing w:before="90" w:line="278" w:lineRule="auto"/>
        <w:jc w:val="center"/>
        <w:rPr>
          <w:rFonts w:ascii="Times New Roman" w:hAnsi="Times New Roman" w:cs="Times New Roman"/>
          <w:b/>
          <w:sz w:val="20"/>
          <w:szCs w:val="20"/>
        </w:rPr>
      </w:pPr>
      <w:r>
        <w:rPr>
          <w:rFonts w:ascii="Times New Roman" w:hAnsi="Times New Roman" w:cs="Times New Roman"/>
          <w:b/>
          <w:noProof/>
          <w:sz w:val="20"/>
          <w:szCs w:val="20"/>
          <w:lang w:bidi="fa-IR"/>
        </w:rPr>
        <w:drawing>
          <wp:inline distT="0" distB="0" distL="0" distR="0" wp14:anchorId="08970C71" wp14:editId="76F852E2">
            <wp:extent cx="3381375" cy="2015410"/>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3467" cy="2028578"/>
                    </a:xfrm>
                    <a:prstGeom prst="rect">
                      <a:avLst/>
                    </a:prstGeom>
                    <a:noFill/>
                  </pic:spPr>
                </pic:pic>
              </a:graphicData>
            </a:graphic>
          </wp:inline>
        </w:drawing>
      </w:r>
    </w:p>
    <w:p w14:paraId="0A73679F" w14:textId="4384BC66" w:rsidR="00784E71" w:rsidRPr="00C402E2" w:rsidRDefault="00C402E2" w:rsidP="00C402E2">
      <w:pPr>
        <w:widowControl/>
        <w:spacing w:after="160" w:line="259" w:lineRule="auto"/>
        <w:rPr>
          <w:rFonts w:ascii="Times New Roman" w:eastAsia="Calibri" w:hAnsi="Times New Roman" w:cs="Times New Roman"/>
          <w:sz w:val="18"/>
          <w:szCs w:val="18"/>
        </w:rPr>
      </w:pPr>
      <w:r w:rsidRPr="00C402E2">
        <w:rPr>
          <w:rFonts w:ascii="Times New Roman" w:eastAsia="Calibri" w:hAnsi="Times New Roman" w:cs="Times New Roman"/>
          <w:sz w:val="18"/>
          <w:szCs w:val="18"/>
        </w:rPr>
        <w:t>Figure 1. Paradigm of present status and future perspective in the application of immunostimulants, prebiotics, and probiotics in fish (adopted from Caipang &amp; Lazado 2015)</w:t>
      </w:r>
    </w:p>
    <w:p w14:paraId="7E6B7966" w14:textId="5DDD8109" w:rsidR="00C402E2" w:rsidRDefault="002D2D17" w:rsidP="00514953">
      <w:pPr>
        <w:widowControl/>
        <w:spacing w:after="160" w:line="259" w:lineRule="auto"/>
        <w:jc w:val="both"/>
        <w:rPr>
          <w:rFonts w:ascii="Times New Roman" w:eastAsia="Calibri" w:hAnsi="Times New Roman" w:cs="Times New Roman"/>
          <w:b/>
          <w:bCs/>
          <w:sz w:val="20"/>
          <w:szCs w:val="20"/>
        </w:rPr>
      </w:pPr>
      <w:r>
        <w:rPr>
          <w:noProof/>
          <w:lang w:bidi="fa-IR"/>
        </w:rPr>
        <w:drawing>
          <wp:anchor distT="0" distB="0" distL="114300" distR="114300" simplePos="0" relativeHeight="251707392" behindDoc="0" locked="0" layoutInCell="1" allowOverlap="1" wp14:anchorId="5EDD5838" wp14:editId="141756AD">
            <wp:simplePos x="0" y="0"/>
            <wp:positionH relativeFrom="column">
              <wp:posOffset>3340100</wp:posOffset>
            </wp:positionH>
            <wp:positionV relativeFrom="paragraph">
              <wp:posOffset>173355</wp:posOffset>
            </wp:positionV>
            <wp:extent cx="3446460" cy="2019300"/>
            <wp:effectExtent l="0" t="0" r="1905" b="0"/>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0"/>
                    <a:stretch>
                      <a:fillRect/>
                    </a:stretch>
                  </pic:blipFill>
                  <pic:spPr>
                    <a:xfrm>
                      <a:off x="0" y="0"/>
                      <a:ext cx="3446460" cy="2019300"/>
                    </a:xfrm>
                    <a:prstGeom prst="rect">
                      <a:avLst/>
                    </a:prstGeom>
                  </pic:spPr>
                </pic:pic>
              </a:graphicData>
            </a:graphic>
            <wp14:sizeRelH relativeFrom="margin">
              <wp14:pctWidth>0</wp14:pctWidth>
            </wp14:sizeRelH>
            <wp14:sizeRelV relativeFrom="margin">
              <wp14:pctHeight>0</wp14:pctHeight>
            </wp14:sizeRelV>
          </wp:anchor>
        </w:drawing>
      </w:r>
      <w:r w:rsidR="00C402E2">
        <w:rPr>
          <w:noProof/>
          <w:lang w:bidi="fa-IR"/>
        </w:rPr>
        <w:drawing>
          <wp:anchor distT="0" distB="0" distL="114300" distR="114300" simplePos="0" relativeHeight="251626496" behindDoc="0" locked="0" layoutInCell="1" allowOverlap="1" wp14:anchorId="6FB18D5C" wp14:editId="6E39E443">
            <wp:simplePos x="0" y="0"/>
            <wp:positionH relativeFrom="column">
              <wp:posOffset>-3176</wp:posOffset>
            </wp:positionH>
            <wp:positionV relativeFrom="paragraph">
              <wp:posOffset>106045</wp:posOffset>
            </wp:positionV>
            <wp:extent cx="3286125" cy="1935286"/>
            <wp:effectExtent l="0" t="0" r="0" b="8255"/>
            <wp:wrapNone/>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11"/>
                    <a:stretch>
                      <a:fillRect/>
                    </a:stretch>
                  </pic:blipFill>
                  <pic:spPr>
                    <a:xfrm>
                      <a:off x="0" y="0"/>
                      <a:ext cx="3301735" cy="1944479"/>
                    </a:xfrm>
                    <a:prstGeom prst="rect">
                      <a:avLst/>
                    </a:prstGeom>
                  </pic:spPr>
                </pic:pic>
              </a:graphicData>
            </a:graphic>
            <wp14:sizeRelH relativeFrom="margin">
              <wp14:pctWidth>0</wp14:pctWidth>
            </wp14:sizeRelH>
            <wp14:sizeRelV relativeFrom="margin">
              <wp14:pctHeight>0</wp14:pctHeight>
            </wp14:sizeRelV>
          </wp:anchor>
        </w:drawing>
      </w:r>
    </w:p>
    <w:p w14:paraId="7C1D3E8E" w14:textId="1A63A620" w:rsidR="00C402E2" w:rsidRDefault="00C402E2" w:rsidP="00514953">
      <w:pPr>
        <w:widowControl/>
        <w:spacing w:after="160" w:line="259" w:lineRule="auto"/>
        <w:jc w:val="both"/>
        <w:rPr>
          <w:rFonts w:ascii="Times New Roman" w:eastAsia="Calibri" w:hAnsi="Times New Roman" w:cs="Times New Roman"/>
          <w:b/>
          <w:bCs/>
          <w:sz w:val="20"/>
          <w:szCs w:val="20"/>
        </w:rPr>
      </w:pPr>
    </w:p>
    <w:p w14:paraId="6AFF32AD" w14:textId="77777777" w:rsidR="00C402E2" w:rsidRDefault="00C402E2" w:rsidP="00514953">
      <w:pPr>
        <w:widowControl/>
        <w:spacing w:after="160" w:line="259" w:lineRule="auto"/>
        <w:jc w:val="both"/>
        <w:rPr>
          <w:rFonts w:ascii="Times New Roman" w:eastAsia="Calibri" w:hAnsi="Times New Roman" w:cs="Times New Roman"/>
          <w:b/>
          <w:bCs/>
          <w:sz w:val="20"/>
          <w:szCs w:val="20"/>
        </w:rPr>
      </w:pPr>
    </w:p>
    <w:p w14:paraId="5B48151A" w14:textId="77777777" w:rsidR="00C402E2" w:rsidRDefault="00C402E2" w:rsidP="00514953">
      <w:pPr>
        <w:widowControl/>
        <w:spacing w:after="160" w:line="259" w:lineRule="auto"/>
        <w:jc w:val="both"/>
        <w:rPr>
          <w:rFonts w:ascii="Times New Roman" w:eastAsia="Calibri" w:hAnsi="Times New Roman" w:cs="Times New Roman"/>
          <w:b/>
          <w:bCs/>
          <w:sz w:val="20"/>
          <w:szCs w:val="20"/>
        </w:rPr>
      </w:pPr>
    </w:p>
    <w:p w14:paraId="775E62D4" w14:textId="77777777" w:rsidR="00C402E2" w:rsidRDefault="00C402E2" w:rsidP="00514953">
      <w:pPr>
        <w:widowControl/>
        <w:spacing w:after="160" w:line="259" w:lineRule="auto"/>
        <w:jc w:val="both"/>
        <w:rPr>
          <w:rFonts w:ascii="Times New Roman" w:eastAsia="Calibri" w:hAnsi="Times New Roman" w:cs="Times New Roman"/>
          <w:b/>
          <w:bCs/>
          <w:sz w:val="20"/>
          <w:szCs w:val="20"/>
        </w:rPr>
      </w:pPr>
    </w:p>
    <w:p w14:paraId="7B025DCA" w14:textId="77777777" w:rsidR="00C402E2" w:rsidRDefault="00C402E2" w:rsidP="00514953">
      <w:pPr>
        <w:widowControl/>
        <w:spacing w:after="160" w:line="259" w:lineRule="auto"/>
        <w:jc w:val="both"/>
        <w:rPr>
          <w:rFonts w:ascii="Times New Roman" w:eastAsia="Calibri" w:hAnsi="Times New Roman" w:cs="Times New Roman"/>
          <w:b/>
          <w:bCs/>
          <w:sz w:val="20"/>
          <w:szCs w:val="20"/>
        </w:rPr>
      </w:pPr>
    </w:p>
    <w:p w14:paraId="24D51B7A" w14:textId="00176456" w:rsidR="00C402E2" w:rsidRDefault="00C402E2" w:rsidP="00514953">
      <w:pPr>
        <w:widowControl/>
        <w:spacing w:after="160" w:line="259" w:lineRule="auto"/>
        <w:jc w:val="both"/>
        <w:rPr>
          <w:rFonts w:ascii="Times New Roman" w:eastAsia="Calibri" w:hAnsi="Times New Roman" w:cs="Times New Roman"/>
          <w:b/>
          <w:bCs/>
          <w:sz w:val="20"/>
          <w:szCs w:val="20"/>
        </w:rPr>
      </w:pPr>
    </w:p>
    <w:p w14:paraId="1E8BCBFF" w14:textId="16491434" w:rsidR="00C402E2" w:rsidRDefault="00C402E2" w:rsidP="00514953">
      <w:pPr>
        <w:widowControl/>
        <w:spacing w:after="160" w:line="259" w:lineRule="auto"/>
        <w:jc w:val="both"/>
        <w:rPr>
          <w:rFonts w:ascii="Times New Roman" w:eastAsia="Calibri" w:hAnsi="Times New Roman" w:cs="Times New Roman"/>
          <w:b/>
          <w:bCs/>
          <w:sz w:val="20"/>
          <w:szCs w:val="20"/>
        </w:rPr>
      </w:pPr>
    </w:p>
    <w:p w14:paraId="741DC3B6" w14:textId="0C98CAB0" w:rsidR="00C402E2" w:rsidRDefault="002D2D17" w:rsidP="00514953">
      <w:pPr>
        <w:widowControl/>
        <w:spacing w:after="160" w:line="259" w:lineRule="auto"/>
        <w:jc w:val="both"/>
        <w:rPr>
          <w:rFonts w:ascii="Times New Roman" w:eastAsia="Calibri" w:hAnsi="Times New Roman" w:cs="Times New Roman"/>
          <w:b/>
          <w:bCs/>
          <w:sz w:val="20"/>
          <w:szCs w:val="20"/>
        </w:rPr>
      </w:pPr>
      <w:r>
        <w:rPr>
          <w:noProof/>
          <w:lang w:bidi="fa-IR"/>
        </w:rPr>
        <w:drawing>
          <wp:anchor distT="0" distB="0" distL="114300" distR="114300" simplePos="0" relativeHeight="251685888" behindDoc="0" locked="0" layoutInCell="1" allowOverlap="1" wp14:anchorId="107E173C" wp14:editId="707C8769">
            <wp:simplePos x="0" y="0"/>
            <wp:positionH relativeFrom="column">
              <wp:posOffset>3511550</wp:posOffset>
            </wp:positionH>
            <wp:positionV relativeFrom="paragraph">
              <wp:posOffset>13970</wp:posOffset>
            </wp:positionV>
            <wp:extent cx="3387090" cy="1983740"/>
            <wp:effectExtent l="0" t="0" r="3810" b="0"/>
            <wp:wrapNone/>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12"/>
                    <a:stretch>
                      <a:fillRect/>
                    </a:stretch>
                  </pic:blipFill>
                  <pic:spPr>
                    <a:xfrm>
                      <a:off x="0" y="0"/>
                      <a:ext cx="3387090" cy="1983740"/>
                    </a:xfrm>
                    <a:prstGeom prst="rect">
                      <a:avLst/>
                    </a:prstGeom>
                  </pic:spPr>
                </pic:pic>
              </a:graphicData>
            </a:graphic>
            <wp14:sizeRelH relativeFrom="margin">
              <wp14:pctWidth>0</wp14:pctWidth>
            </wp14:sizeRelH>
            <wp14:sizeRelV relativeFrom="margin">
              <wp14:pctHeight>0</wp14:pctHeight>
            </wp14:sizeRelV>
          </wp:anchor>
        </w:drawing>
      </w:r>
      <w:r>
        <w:rPr>
          <w:noProof/>
          <w:lang w:bidi="fa-IR"/>
        </w:rPr>
        <w:drawing>
          <wp:anchor distT="0" distB="0" distL="114300" distR="114300" simplePos="0" relativeHeight="251660288" behindDoc="0" locked="0" layoutInCell="1" allowOverlap="1" wp14:anchorId="64960F91" wp14:editId="0686FEBF">
            <wp:simplePos x="0" y="0"/>
            <wp:positionH relativeFrom="column">
              <wp:posOffset>-3175</wp:posOffset>
            </wp:positionH>
            <wp:positionV relativeFrom="paragraph">
              <wp:posOffset>13970</wp:posOffset>
            </wp:positionV>
            <wp:extent cx="3442335" cy="1981200"/>
            <wp:effectExtent l="0" t="0" r="5715" b="0"/>
            <wp:wrapNone/>
            <wp:docPr id="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13"/>
                    <a:stretch>
                      <a:fillRect/>
                    </a:stretch>
                  </pic:blipFill>
                  <pic:spPr>
                    <a:xfrm>
                      <a:off x="0" y="0"/>
                      <a:ext cx="3442335" cy="1981200"/>
                    </a:xfrm>
                    <a:prstGeom prst="rect">
                      <a:avLst/>
                    </a:prstGeom>
                  </pic:spPr>
                </pic:pic>
              </a:graphicData>
            </a:graphic>
            <wp14:sizeRelH relativeFrom="margin">
              <wp14:pctWidth>0</wp14:pctWidth>
            </wp14:sizeRelH>
            <wp14:sizeRelV relativeFrom="margin">
              <wp14:pctHeight>0</wp14:pctHeight>
            </wp14:sizeRelV>
          </wp:anchor>
        </w:drawing>
      </w:r>
    </w:p>
    <w:p w14:paraId="34EA014C" w14:textId="742AB18A" w:rsidR="00C402E2" w:rsidRDefault="00C402E2" w:rsidP="00514953">
      <w:pPr>
        <w:widowControl/>
        <w:spacing w:after="160" w:line="259" w:lineRule="auto"/>
        <w:jc w:val="both"/>
        <w:rPr>
          <w:rFonts w:ascii="Times New Roman" w:eastAsia="Calibri" w:hAnsi="Times New Roman" w:cs="Times New Roman"/>
          <w:b/>
          <w:bCs/>
          <w:sz w:val="20"/>
          <w:szCs w:val="20"/>
        </w:rPr>
      </w:pPr>
    </w:p>
    <w:p w14:paraId="104094E8" w14:textId="799E8A19" w:rsidR="00C402E2" w:rsidRDefault="00C402E2" w:rsidP="00514953">
      <w:pPr>
        <w:widowControl/>
        <w:spacing w:after="160" w:line="259" w:lineRule="auto"/>
        <w:jc w:val="both"/>
        <w:rPr>
          <w:rFonts w:ascii="Times New Roman" w:eastAsia="Calibri" w:hAnsi="Times New Roman" w:cs="Times New Roman"/>
          <w:b/>
          <w:bCs/>
          <w:sz w:val="20"/>
          <w:szCs w:val="20"/>
        </w:rPr>
      </w:pPr>
    </w:p>
    <w:p w14:paraId="189D4906" w14:textId="4A5EE4E6" w:rsidR="00C402E2" w:rsidRDefault="00C402E2" w:rsidP="00514953">
      <w:pPr>
        <w:widowControl/>
        <w:spacing w:after="160" w:line="259" w:lineRule="auto"/>
        <w:jc w:val="both"/>
        <w:rPr>
          <w:rFonts w:ascii="Times New Roman" w:eastAsia="Calibri" w:hAnsi="Times New Roman" w:cs="Times New Roman"/>
          <w:b/>
          <w:bCs/>
          <w:sz w:val="20"/>
          <w:szCs w:val="20"/>
        </w:rPr>
      </w:pPr>
    </w:p>
    <w:p w14:paraId="65071C41" w14:textId="66C68EB0" w:rsidR="00C402E2" w:rsidRDefault="00C402E2" w:rsidP="00514953">
      <w:pPr>
        <w:widowControl/>
        <w:spacing w:after="160" w:line="259" w:lineRule="auto"/>
        <w:jc w:val="both"/>
        <w:rPr>
          <w:rFonts w:ascii="Times New Roman" w:eastAsia="Calibri" w:hAnsi="Times New Roman" w:cs="Times New Roman"/>
          <w:b/>
          <w:bCs/>
          <w:sz w:val="20"/>
          <w:szCs w:val="20"/>
        </w:rPr>
      </w:pPr>
    </w:p>
    <w:p w14:paraId="5CD3E8D7" w14:textId="6E894F0A" w:rsidR="00C402E2" w:rsidRDefault="00C402E2" w:rsidP="00514953">
      <w:pPr>
        <w:widowControl/>
        <w:spacing w:after="160" w:line="259" w:lineRule="auto"/>
        <w:jc w:val="both"/>
        <w:rPr>
          <w:rFonts w:ascii="Times New Roman" w:eastAsia="Calibri" w:hAnsi="Times New Roman" w:cs="Times New Roman"/>
          <w:b/>
          <w:bCs/>
          <w:sz w:val="20"/>
          <w:szCs w:val="20"/>
        </w:rPr>
      </w:pPr>
    </w:p>
    <w:p w14:paraId="48986A47" w14:textId="524A8A0C" w:rsidR="00C402E2" w:rsidRDefault="00C402E2" w:rsidP="00514953">
      <w:pPr>
        <w:widowControl/>
        <w:spacing w:after="160" w:line="259" w:lineRule="auto"/>
        <w:jc w:val="both"/>
        <w:rPr>
          <w:rFonts w:ascii="Times New Roman" w:eastAsia="Calibri" w:hAnsi="Times New Roman" w:cs="Times New Roman"/>
          <w:b/>
          <w:bCs/>
          <w:sz w:val="20"/>
          <w:szCs w:val="20"/>
        </w:rPr>
      </w:pPr>
    </w:p>
    <w:p w14:paraId="1A320E65" w14:textId="77777777" w:rsidR="00C402E2" w:rsidRDefault="00C402E2" w:rsidP="00514953">
      <w:pPr>
        <w:widowControl/>
        <w:spacing w:after="160" w:line="259" w:lineRule="auto"/>
        <w:jc w:val="both"/>
        <w:rPr>
          <w:rFonts w:ascii="Times New Roman" w:eastAsia="Calibri" w:hAnsi="Times New Roman" w:cs="Times New Roman"/>
          <w:b/>
          <w:bCs/>
          <w:sz w:val="20"/>
          <w:szCs w:val="20"/>
        </w:rPr>
      </w:pPr>
    </w:p>
    <w:p w14:paraId="0D5F020D" w14:textId="548479F4" w:rsidR="00C402E2" w:rsidRPr="002D2D17" w:rsidRDefault="002D2D17" w:rsidP="002D2D17">
      <w:pPr>
        <w:widowControl/>
        <w:spacing w:after="160" w:line="259" w:lineRule="auto"/>
        <w:jc w:val="both"/>
        <w:rPr>
          <w:rFonts w:ascii="Times New Roman" w:eastAsia="Calibri" w:hAnsi="Times New Roman" w:cs="Times New Roman"/>
          <w:sz w:val="20"/>
          <w:szCs w:val="20"/>
        </w:rPr>
      </w:pPr>
      <w:r w:rsidRPr="002D2D17">
        <w:rPr>
          <w:rFonts w:ascii="Times New Roman" w:eastAsia="Calibri" w:hAnsi="Times New Roman" w:cs="Times New Roman"/>
          <w:sz w:val="20"/>
          <w:szCs w:val="20"/>
        </w:rPr>
        <w:t>Figure 2. Effect of various dietary treatments on humoral immune parameters including, Values are presented as the mean ± S.E., n = 15. Different superscripts on the bars denotes statistically significant differences (P &lt; 0.05) (by Duncan’s Multiple Range Test) .</w:t>
      </w:r>
    </w:p>
    <w:p w14:paraId="10DE5988" w14:textId="77777777" w:rsidR="00C402E2" w:rsidRDefault="00C402E2" w:rsidP="00514953">
      <w:pPr>
        <w:widowControl/>
        <w:spacing w:after="160" w:line="259" w:lineRule="auto"/>
        <w:jc w:val="both"/>
        <w:rPr>
          <w:rFonts w:ascii="Times New Roman" w:eastAsia="Calibri" w:hAnsi="Times New Roman" w:cs="Times New Roman"/>
          <w:b/>
          <w:bCs/>
          <w:sz w:val="20"/>
          <w:szCs w:val="20"/>
        </w:rPr>
      </w:pPr>
    </w:p>
    <w:p w14:paraId="3D1D81B6" w14:textId="07F43400" w:rsidR="00C402E2" w:rsidRPr="002D2D17" w:rsidRDefault="002D2D17" w:rsidP="002D2D17">
      <w:pPr>
        <w:widowControl/>
        <w:spacing w:after="160" w:line="259" w:lineRule="auto"/>
        <w:jc w:val="both"/>
        <w:rPr>
          <w:rFonts w:ascii="Times New Roman" w:eastAsia="Calibri" w:hAnsi="Times New Roman" w:cs="Times New Roman"/>
          <w:sz w:val="20"/>
          <w:szCs w:val="20"/>
        </w:rPr>
      </w:pPr>
      <w:r w:rsidRPr="002D2D17">
        <w:rPr>
          <w:rFonts w:ascii="Times New Roman" w:eastAsia="Calibri" w:hAnsi="Times New Roman" w:cs="Times New Roman"/>
          <w:sz w:val="20"/>
          <w:szCs w:val="20"/>
        </w:rPr>
        <w:t xml:space="preserve">Table 1. Mucosal immunological parameters (mean ± S.E., n = 9) of the </w:t>
      </w:r>
      <w:r w:rsidRPr="002D2D17">
        <w:rPr>
          <w:rFonts w:ascii="Times New Roman" w:eastAsia="Calibri" w:hAnsi="Times New Roman" w:cs="Times New Roman"/>
          <w:i/>
          <w:iCs/>
          <w:sz w:val="20"/>
          <w:szCs w:val="20"/>
        </w:rPr>
        <w:t>L. calcarifer</w:t>
      </w:r>
      <w:r w:rsidRPr="002D2D17">
        <w:rPr>
          <w:rFonts w:ascii="Times New Roman" w:eastAsia="Calibri" w:hAnsi="Times New Roman" w:cs="Times New Roman"/>
          <w:sz w:val="20"/>
          <w:szCs w:val="20"/>
        </w:rPr>
        <w:t xml:space="preserve"> fed different levels of dietary LMWSA and </w:t>
      </w:r>
      <w:r w:rsidRPr="002D2D17">
        <w:rPr>
          <w:rFonts w:ascii="Times New Roman" w:eastAsia="Calibri" w:hAnsi="Times New Roman" w:cs="Times New Roman"/>
          <w:i/>
          <w:iCs/>
          <w:sz w:val="20"/>
          <w:szCs w:val="20"/>
        </w:rPr>
        <w:t>P. acidilactici</w:t>
      </w:r>
      <w:r w:rsidRPr="002D2D17">
        <w:rPr>
          <w:rFonts w:ascii="Times New Roman" w:eastAsia="Calibri" w:hAnsi="Times New Roman" w:cs="Times New Roman"/>
          <w:sz w:val="20"/>
          <w:szCs w:val="20"/>
        </w:rPr>
        <w:t>.</w:t>
      </w:r>
    </w:p>
    <w:p w14:paraId="3005EBA6" w14:textId="0F81E148" w:rsidR="00C402E2" w:rsidRDefault="002D2D17" w:rsidP="00514953">
      <w:pPr>
        <w:widowControl/>
        <w:spacing w:after="160" w:line="259" w:lineRule="auto"/>
        <w:jc w:val="both"/>
        <w:rPr>
          <w:rFonts w:ascii="Times New Roman" w:eastAsia="Calibri" w:hAnsi="Times New Roman" w:cs="Times New Roman"/>
          <w:b/>
          <w:bCs/>
          <w:sz w:val="20"/>
          <w:szCs w:val="20"/>
        </w:rPr>
      </w:pPr>
      <w:r>
        <w:rPr>
          <w:rFonts w:ascii="Times New Roman" w:eastAsia="Calibri" w:hAnsi="Times New Roman" w:cs="Times New Roman"/>
          <w:b/>
          <w:bCs/>
          <w:noProof/>
          <w:sz w:val="20"/>
          <w:szCs w:val="20"/>
          <w:lang w:bidi="fa-IR"/>
        </w:rPr>
        <w:lastRenderedPageBreak/>
        <w:drawing>
          <wp:inline distT="0" distB="0" distL="0" distR="0" wp14:anchorId="04AC3192" wp14:editId="6FA6752C">
            <wp:extent cx="6788150" cy="122466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88150" cy="1224666"/>
                    </a:xfrm>
                    <a:prstGeom prst="rect">
                      <a:avLst/>
                    </a:prstGeom>
                    <a:noFill/>
                  </pic:spPr>
                </pic:pic>
              </a:graphicData>
            </a:graphic>
          </wp:inline>
        </w:drawing>
      </w:r>
    </w:p>
    <w:p w14:paraId="6E2E128C" w14:textId="2EAA6B9B" w:rsidR="00C402E2" w:rsidRPr="002D2D17" w:rsidRDefault="002D2D17" w:rsidP="002D2D17">
      <w:pPr>
        <w:widowControl/>
        <w:spacing w:after="160" w:line="259" w:lineRule="auto"/>
        <w:jc w:val="both"/>
        <w:rPr>
          <w:rFonts w:ascii="Times New Roman" w:eastAsia="Calibri" w:hAnsi="Times New Roman" w:cs="Times New Roman"/>
          <w:sz w:val="18"/>
          <w:szCs w:val="18"/>
        </w:rPr>
      </w:pPr>
      <w:r w:rsidRPr="002D2D17">
        <w:rPr>
          <w:rFonts w:ascii="Times New Roman" w:eastAsia="Calibri" w:hAnsi="Times New Roman" w:cs="Times New Roman"/>
          <w:sz w:val="18"/>
          <w:szCs w:val="18"/>
        </w:rPr>
        <w:t>Values in a row assigned with different letter denote significant difference (P &lt; 0.05) (by Duncan’s Multiple Range Test).</w:t>
      </w:r>
    </w:p>
    <w:p w14:paraId="788A7D7E" w14:textId="77777777" w:rsidR="00C402E2" w:rsidRDefault="00C402E2" w:rsidP="00514953">
      <w:pPr>
        <w:widowControl/>
        <w:spacing w:after="160" w:line="259" w:lineRule="auto"/>
        <w:jc w:val="both"/>
        <w:rPr>
          <w:rFonts w:ascii="Times New Roman" w:eastAsia="Calibri" w:hAnsi="Times New Roman" w:cs="Times New Roman"/>
          <w:b/>
          <w:bCs/>
          <w:sz w:val="20"/>
          <w:szCs w:val="20"/>
        </w:rPr>
      </w:pPr>
    </w:p>
    <w:p w14:paraId="73FD35B1" w14:textId="1CB49BF0" w:rsidR="00C402E2" w:rsidRPr="002D2D17" w:rsidRDefault="002D2D17" w:rsidP="002D2D17">
      <w:pPr>
        <w:widowControl/>
        <w:spacing w:after="160" w:line="259" w:lineRule="auto"/>
        <w:jc w:val="both"/>
        <w:rPr>
          <w:rFonts w:ascii="Times New Roman" w:eastAsia="Calibri" w:hAnsi="Times New Roman" w:cs="Times New Roman"/>
          <w:sz w:val="20"/>
          <w:szCs w:val="20"/>
        </w:rPr>
      </w:pPr>
      <w:r w:rsidRPr="002D2D17">
        <w:rPr>
          <w:rFonts w:ascii="Times New Roman" w:eastAsia="Calibri" w:hAnsi="Times New Roman" w:cs="Times New Roman"/>
          <w:sz w:val="20"/>
          <w:szCs w:val="20"/>
        </w:rPr>
        <w:t xml:space="preserve">Table 2. Hematological parameters (mean ± S.E., n = 9) of the </w:t>
      </w:r>
      <w:r w:rsidRPr="002D2D17">
        <w:rPr>
          <w:rFonts w:ascii="Times New Roman" w:eastAsia="Calibri" w:hAnsi="Times New Roman" w:cs="Times New Roman"/>
          <w:i/>
          <w:iCs/>
          <w:sz w:val="20"/>
          <w:szCs w:val="20"/>
        </w:rPr>
        <w:t>L. carcalifer</w:t>
      </w:r>
      <w:r w:rsidRPr="002D2D17">
        <w:rPr>
          <w:rFonts w:ascii="Times New Roman" w:eastAsia="Calibri" w:hAnsi="Times New Roman" w:cs="Times New Roman"/>
          <w:sz w:val="20"/>
          <w:szCs w:val="20"/>
        </w:rPr>
        <w:t xml:space="preserve"> fed different levels of dietary LMWSA and </w:t>
      </w:r>
      <w:r w:rsidRPr="002D2D17">
        <w:rPr>
          <w:rFonts w:ascii="Times New Roman" w:eastAsia="Calibri" w:hAnsi="Times New Roman" w:cs="Times New Roman"/>
          <w:i/>
          <w:iCs/>
          <w:sz w:val="20"/>
          <w:szCs w:val="20"/>
        </w:rPr>
        <w:t>P. acidilactici</w:t>
      </w:r>
    </w:p>
    <w:p w14:paraId="5401CF4B" w14:textId="19C990CC" w:rsidR="00C402E2" w:rsidRDefault="002D2D17" w:rsidP="00514953">
      <w:pPr>
        <w:widowControl/>
        <w:spacing w:after="160" w:line="259" w:lineRule="auto"/>
        <w:jc w:val="both"/>
        <w:rPr>
          <w:rFonts w:ascii="Times New Roman" w:eastAsia="Calibri" w:hAnsi="Times New Roman" w:cs="Times New Roman"/>
          <w:b/>
          <w:bCs/>
          <w:sz w:val="20"/>
          <w:szCs w:val="20"/>
        </w:rPr>
      </w:pPr>
      <w:r>
        <w:rPr>
          <w:rFonts w:ascii="Times New Roman" w:eastAsia="Calibri" w:hAnsi="Times New Roman" w:cs="Times New Roman"/>
          <w:b/>
          <w:bCs/>
          <w:noProof/>
          <w:sz w:val="20"/>
          <w:szCs w:val="20"/>
          <w:lang w:bidi="fa-IR"/>
        </w:rPr>
        <w:drawing>
          <wp:inline distT="0" distB="0" distL="0" distR="0" wp14:anchorId="46B16091" wp14:editId="462CF643">
            <wp:extent cx="6895482" cy="228600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0410" cy="2310840"/>
                    </a:xfrm>
                    <a:prstGeom prst="rect">
                      <a:avLst/>
                    </a:prstGeom>
                    <a:noFill/>
                  </pic:spPr>
                </pic:pic>
              </a:graphicData>
            </a:graphic>
          </wp:inline>
        </w:drawing>
      </w:r>
    </w:p>
    <w:p w14:paraId="647A6429" w14:textId="17455D4F" w:rsidR="00C402E2" w:rsidRPr="002D2D17" w:rsidRDefault="002D2D17" w:rsidP="002D2D17">
      <w:pPr>
        <w:widowControl/>
        <w:spacing w:after="160" w:line="259" w:lineRule="auto"/>
        <w:jc w:val="both"/>
        <w:rPr>
          <w:rFonts w:ascii="Times New Roman" w:eastAsia="Calibri" w:hAnsi="Times New Roman" w:cs="Times New Roman"/>
          <w:sz w:val="20"/>
          <w:szCs w:val="20"/>
        </w:rPr>
      </w:pPr>
      <w:r w:rsidRPr="002D2D17">
        <w:rPr>
          <w:rFonts w:ascii="Times New Roman" w:eastAsia="Calibri" w:hAnsi="Times New Roman" w:cs="Times New Roman"/>
          <w:sz w:val="20"/>
          <w:szCs w:val="20"/>
        </w:rPr>
        <w:t>Values in a row assigned with different letter denote significant difference (P &lt; 0.05) (by Duncan’s Multiple Range Test).</w:t>
      </w:r>
    </w:p>
    <w:p w14:paraId="466152A9" w14:textId="77777777" w:rsidR="00C402E2" w:rsidRDefault="00C402E2" w:rsidP="00514953">
      <w:pPr>
        <w:widowControl/>
        <w:spacing w:after="160" w:line="259" w:lineRule="auto"/>
        <w:jc w:val="both"/>
        <w:rPr>
          <w:rFonts w:ascii="Times New Roman" w:eastAsia="Calibri" w:hAnsi="Times New Roman" w:cs="Times New Roman"/>
          <w:b/>
          <w:bCs/>
          <w:sz w:val="20"/>
          <w:szCs w:val="20"/>
        </w:rPr>
      </w:pP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t>Recent Publications (minimum 5)</w:t>
      </w:r>
    </w:p>
    <w:p w14:paraId="1A03392D" w14:textId="389315EC" w:rsidR="005C2E3C" w:rsidRPr="006B5568" w:rsidRDefault="00B754C2" w:rsidP="00B754C2">
      <w:pPr>
        <w:pStyle w:val="ListParagraph"/>
        <w:numPr>
          <w:ilvl w:val="0"/>
          <w:numId w:val="1"/>
        </w:numPr>
        <w:tabs>
          <w:tab w:val="left" w:pos="384"/>
        </w:tabs>
        <w:spacing w:line="216" w:lineRule="exact"/>
        <w:ind w:right="137"/>
        <w:rPr>
          <w:rFonts w:ascii="Times New Roman" w:hAnsi="Times New Roman" w:cs="Times New Roman"/>
          <w:sz w:val="20"/>
          <w:szCs w:val="20"/>
        </w:rPr>
      </w:pPr>
      <w:r w:rsidRPr="00B754C2">
        <w:rPr>
          <w:rFonts w:ascii="Times New Roman" w:hAnsi="Times New Roman" w:cs="Times New Roman"/>
          <w:sz w:val="20"/>
          <w:szCs w:val="20"/>
        </w:rPr>
        <w:t>Ashouri Gh, Ma</w:t>
      </w:r>
      <w:r w:rsidR="00301DD1">
        <w:rPr>
          <w:rFonts w:ascii="Times New Roman" w:hAnsi="Times New Roman" w:cs="Times New Roman"/>
          <w:sz w:val="20"/>
          <w:szCs w:val="20"/>
        </w:rPr>
        <w:t>hboobi Soofiani N, Hoseinifar S</w:t>
      </w:r>
      <w:r w:rsidRPr="00B754C2">
        <w:rPr>
          <w:rFonts w:ascii="Times New Roman" w:hAnsi="Times New Roman" w:cs="Times New Roman"/>
          <w:sz w:val="20"/>
          <w:szCs w:val="20"/>
        </w:rPr>
        <w:t xml:space="preserve">H, Jalali SAH, Morshedi V, Van Doan H, Torfi MozanzadehHeilig M (2018) Combined effects of dietary low molecular weight sodium alginate and Pediococcus acidilactici MA18/5M on growth performance, haematological and innate immune responses of Asian sea bass (Lates calcalifer) juveniles. Fish and shellfish immunology 79: 34-41. </w:t>
      </w:r>
      <w:r w:rsidR="005C2E3C" w:rsidRPr="006B5568">
        <w:rPr>
          <w:rFonts w:ascii="Times New Roman" w:hAnsi="Times New Roman" w:cs="Times New Roman"/>
          <w:sz w:val="20"/>
          <w:szCs w:val="20"/>
        </w:rPr>
        <w:t xml:space="preserve">M, Egli M (2006) Pharmacological treatment of alcohol dependence: </w:t>
      </w:r>
      <w:r w:rsidR="005C2E3C" w:rsidRPr="006B5568">
        <w:rPr>
          <w:rFonts w:ascii="Times New Roman" w:hAnsi="Times New Roman" w:cs="Times New Roman"/>
          <w:spacing w:val="-4"/>
          <w:sz w:val="20"/>
          <w:szCs w:val="20"/>
        </w:rPr>
        <w:t xml:space="preserve">Target </w:t>
      </w:r>
      <w:r w:rsidR="005C2E3C" w:rsidRPr="006B5568">
        <w:rPr>
          <w:rFonts w:ascii="Times New Roman" w:hAnsi="Times New Roman" w:cs="Times New Roman"/>
          <w:sz w:val="20"/>
          <w:szCs w:val="20"/>
        </w:rPr>
        <w:t>symptoms and target mechanisms. Pharmacology and therapeutics 111:855-876.</w:t>
      </w:r>
    </w:p>
    <w:p w14:paraId="08B52BC6" w14:textId="064BB9D2" w:rsidR="005C2E3C" w:rsidRPr="006B5568" w:rsidRDefault="001B1F09" w:rsidP="00B754C2">
      <w:pPr>
        <w:pStyle w:val="ListParagraph"/>
        <w:numPr>
          <w:ilvl w:val="0"/>
          <w:numId w:val="1"/>
        </w:numPr>
        <w:tabs>
          <w:tab w:val="left" w:pos="384"/>
        </w:tabs>
        <w:spacing w:line="216" w:lineRule="exact"/>
        <w:ind w:right="138"/>
        <w:rPr>
          <w:rFonts w:ascii="Times New Roman" w:hAnsi="Times New Roman" w:cs="Times New Roman"/>
          <w:sz w:val="20"/>
          <w:szCs w:val="20"/>
        </w:rPr>
      </w:pPr>
      <w:r>
        <w:rPr>
          <w:rFonts w:ascii="Times New Roman" w:hAnsi="Times New Roman" w:cs="Times New Roman"/>
          <w:sz w:val="20"/>
          <w:szCs w:val="20"/>
        </w:rPr>
        <w:t>Hoseinifar SH, Dadar M, Ringø E,</w:t>
      </w:r>
      <w:r w:rsidR="00B754C2" w:rsidRPr="00B754C2">
        <w:rPr>
          <w:rFonts w:ascii="Times New Roman" w:hAnsi="Times New Roman" w:cs="Times New Roman"/>
          <w:sz w:val="20"/>
          <w:szCs w:val="20"/>
        </w:rPr>
        <w:t xml:space="preserve"> </w:t>
      </w:r>
      <w:r>
        <w:rPr>
          <w:rFonts w:ascii="Times New Roman" w:hAnsi="Times New Roman" w:cs="Times New Roman"/>
          <w:sz w:val="20"/>
          <w:szCs w:val="20"/>
        </w:rPr>
        <w:t>(</w:t>
      </w:r>
      <w:r w:rsidR="00B754C2" w:rsidRPr="00B754C2">
        <w:rPr>
          <w:rFonts w:ascii="Times New Roman" w:hAnsi="Times New Roman" w:cs="Times New Roman"/>
          <w:sz w:val="20"/>
          <w:szCs w:val="20"/>
        </w:rPr>
        <w:t>2017</w:t>
      </w:r>
      <w:r>
        <w:rPr>
          <w:rFonts w:ascii="Times New Roman" w:hAnsi="Times New Roman" w:cs="Times New Roman"/>
          <w:sz w:val="20"/>
          <w:szCs w:val="20"/>
        </w:rPr>
        <w:t>)</w:t>
      </w:r>
      <w:r w:rsidR="00B754C2" w:rsidRPr="00B754C2">
        <w:rPr>
          <w:rFonts w:ascii="Times New Roman" w:hAnsi="Times New Roman" w:cs="Times New Roman"/>
          <w:sz w:val="20"/>
          <w:szCs w:val="20"/>
        </w:rPr>
        <w:t xml:space="preserve"> Modulation of nutrient digestibility and digestive enzyme activities in aquatic animals: The functional feed additives scenario. Aquaculture Research 48 (8): 3987-4000.</w:t>
      </w:r>
      <w:r w:rsidR="005C2E3C" w:rsidRPr="006B5568">
        <w:rPr>
          <w:rFonts w:ascii="Times New Roman" w:hAnsi="Times New Roman" w:cs="Times New Roman"/>
          <w:sz w:val="20"/>
          <w:szCs w:val="20"/>
        </w:rPr>
        <w:t>.</w:t>
      </w:r>
    </w:p>
    <w:p w14:paraId="295CF5CA" w14:textId="37D51C86" w:rsidR="005C2E3C" w:rsidRPr="001B1F09" w:rsidRDefault="001B1F09" w:rsidP="006A1E48">
      <w:pPr>
        <w:pStyle w:val="ListParagraph"/>
        <w:numPr>
          <w:ilvl w:val="0"/>
          <w:numId w:val="1"/>
        </w:numPr>
        <w:tabs>
          <w:tab w:val="left" w:pos="384"/>
        </w:tabs>
        <w:spacing w:before="92" w:line="218" w:lineRule="exact"/>
        <w:ind w:hanging="283"/>
        <w:rPr>
          <w:rFonts w:ascii="Times New Roman" w:hAnsi="Times New Roman" w:cs="Times New Roman"/>
          <w:sz w:val="16"/>
          <w:szCs w:val="16"/>
        </w:rPr>
      </w:pPr>
      <w:r>
        <w:rPr>
          <w:rFonts w:ascii="Times New Roman" w:eastAsia="Times New Roman" w:hAnsi="Times New Roman" w:cs="Times New Roman"/>
          <w:sz w:val="20"/>
          <w:szCs w:val="20"/>
          <w:lang w:bidi="fa-IR"/>
        </w:rPr>
        <w:t>Hoseinifar</w:t>
      </w:r>
      <w:r w:rsidRPr="001B1F09">
        <w:rPr>
          <w:rFonts w:ascii="Times New Roman" w:eastAsia="Times New Roman" w:hAnsi="Times New Roman" w:cs="Times New Roman"/>
          <w:sz w:val="20"/>
          <w:szCs w:val="20"/>
          <w:lang w:bidi="fa-IR"/>
        </w:rPr>
        <w:t xml:space="preserve"> S</w:t>
      </w:r>
      <w:r>
        <w:rPr>
          <w:rFonts w:ascii="Times New Roman" w:eastAsia="Times New Roman" w:hAnsi="Times New Roman" w:cs="Times New Roman"/>
          <w:sz w:val="20"/>
          <w:szCs w:val="20"/>
          <w:lang w:bidi="fa-IR"/>
        </w:rPr>
        <w:t>H, Ringø E, Shenavar Masouleh A, Esteban MÁ,</w:t>
      </w:r>
      <w:r w:rsidRPr="001B1F09">
        <w:rPr>
          <w:rFonts w:ascii="Times New Roman" w:eastAsia="Times New Roman" w:hAnsi="Times New Roman" w:cs="Times New Roman"/>
          <w:sz w:val="20"/>
          <w:szCs w:val="20"/>
          <w:lang w:bidi="fa-IR"/>
        </w:rPr>
        <w:t xml:space="preserve"> </w:t>
      </w:r>
      <w:r>
        <w:rPr>
          <w:rFonts w:ascii="Times New Roman" w:eastAsia="Times New Roman" w:hAnsi="Times New Roman" w:cs="Times New Roman"/>
          <w:sz w:val="20"/>
          <w:szCs w:val="20"/>
          <w:lang w:bidi="fa-IR"/>
        </w:rPr>
        <w:t>(</w:t>
      </w:r>
      <w:r w:rsidRPr="001B1F09">
        <w:rPr>
          <w:rFonts w:ascii="Times New Roman" w:eastAsia="Times New Roman" w:hAnsi="Times New Roman" w:cs="Times New Roman"/>
          <w:sz w:val="20"/>
          <w:szCs w:val="20"/>
          <w:lang w:bidi="fa-IR"/>
        </w:rPr>
        <w:t>2014</w:t>
      </w:r>
      <w:r>
        <w:rPr>
          <w:rFonts w:ascii="Times New Roman" w:eastAsia="Times New Roman" w:hAnsi="Times New Roman" w:cs="Times New Roman"/>
          <w:sz w:val="20"/>
          <w:szCs w:val="20"/>
          <w:lang w:bidi="fa-IR"/>
        </w:rPr>
        <w:t>)</w:t>
      </w:r>
      <w:r w:rsidRPr="001B1F09">
        <w:rPr>
          <w:rFonts w:ascii="Times New Roman" w:eastAsia="Times New Roman" w:hAnsi="Times New Roman" w:cs="Times New Roman"/>
          <w:sz w:val="20"/>
          <w:szCs w:val="20"/>
          <w:lang w:bidi="fa-IR"/>
        </w:rPr>
        <w:t xml:space="preserve"> Probiotic, prebiotic, and synbiotic supplements in sturgeon aquaculture: A review. Review in Aquaculture 6: 1–14.</w:t>
      </w:r>
    </w:p>
    <w:p w14:paraId="0B6D128B" w14:textId="64B3678A" w:rsidR="001B1F09" w:rsidRDefault="001B1F09" w:rsidP="001B1F09">
      <w:pPr>
        <w:pStyle w:val="ListParagraph"/>
        <w:numPr>
          <w:ilvl w:val="0"/>
          <w:numId w:val="1"/>
        </w:numPr>
        <w:tabs>
          <w:tab w:val="left" w:pos="384"/>
        </w:tabs>
        <w:spacing w:before="92" w:line="218" w:lineRule="exact"/>
        <w:rPr>
          <w:rFonts w:ascii="Times New Roman" w:hAnsi="Times New Roman" w:cs="Times New Roman"/>
          <w:sz w:val="20"/>
          <w:szCs w:val="20"/>
        </w:rPr>
      </w:pPr>
      <w:r>
        <w:rPr>
          <w:rFonts w:ascii="Times New Roman" w:hAnsi="Times New Roman" w:cs="Times New Roman"/>
          <w:sz w:val="20"/>
          <w:szCs w:val="20"/>
        </w:rPr>
        <w:t>Ringø, E, Song SK,</w:t>
      </w:r>
      <w:r w:rsidRPr="001B1F09">
        <w:rPr>
          <w:rFonts w:ascii="Times New Roman" w:hAnsi="Times New Roman" w:cs="Times New Roman"/>
          <w:sz w:val="20"/>
          <w:szCs w:val="20"/>
        </w:rPr>
        <w:t xml:space="preserve"> </w:t>
      </w:r>
      <w:r>
        <w:rPr>
          <w:rFonts w:ascii="Times New Roman" w:hAnsi="Times New Roman" w:cs="Times New Roman"/>
          <w:sz w:val="20"/>
          <w:szCs w:val="20"/>
        </w:rPr>
        <w:t>(</w:t>
      </w:r>
      <w:r w:rsidRPr="001B1F09">
        <w:rPr>
          <w:rFonts w:ascii="Times New Roman" w:hAnsi="Times New Roman" w:cs="Times New Roman"/>
          <w:sz w:val="20"/>
          <w:szCs w:val="20"/>
        </w:rPr>
        <w:t>2016</w:t>
      </w:r>
      <w:r>
        <w:rPr>
          <w:rFonts w:ascii="Times New Roman" w:hAnsi="Times New Roman" w:cs="Times New Roman"/>
          <w:sz w:val="20"/>
          <w:szCs w:val="20"/>
        </w:rPr>
        <w:t>)</w:t>
      </w:r>
      <w:r w:rsidRPr="001B1F09">
        <w:rPr>
          <w:rFonts w:ascii="Times New Roman" w:hAnsi="Times New Roman" w:cs="Times New Roman"/>
          <w:sz w:val="20"/>
          <w:szCs w:val="20"/>
        </w:rPr>
        <w:t>. Application of dietary supplements (synbiotics and probiotics in combination with plant products and ß-glucans) in aquaculture. Aquaculture Nutrition 22: 4–24.</w:t>
      </w:r>
    </w:p>
    <w:p w14:paraId="0BAC3AC8" w14:textId="373A69D8" w:rsidR="001B1F09" w:rsidRPr="001B1F09" w:rsidRDefault="001B1F09" w:rsidP="001B1F09">
      <w:pPr>
        <w:pStyle w:val="ListParagraph"/>
        <w:numPr>
          <w:ilvl w:val="0"/>
          <w:numId w:val="1"/>
        </w:numPr>
        <w:tabs>
          <w:tab w:val="left" w:pos="384"/>
        </w:tabs>
        <w:spacing w:before="92" w:line="218" w:lineRule="exact"/>
        <w:rPr>
          <w:rFonts w:ascii="Times New Roman" w:hAnsi="Times New Roman" w:cs="Times New Roman"/>
          <w:sz w:val="20"/>
          <w:szCs w:val="20"/>
        </w:rPr>
      </w:pPr>
      <w:r>
        <w:rPr>
          <w:rFonts w:ascii="Times New Roman" w:hAnsi="Times New Roman" w:cs="Times New Roman"/>
          <w:sz w:val="20"/>
          <w:szCs w:val="20"/>
        </w:rPr>
        <w:t>Ringø E, Olsen R, Gifstad T, Dalmo R, Amlund H, Hemre GI, Bakke AM,</w:t>
      </w:r>
      <w:r w:rsidRPr="001B1F09">
        <w:rPr>
          <w:rFonts w:ascii="Times New Roman" w:hAnsi="Times New Roman" w:cs="Times New Roman"/>
          <w:sz w:val="20"/>
          <w:szCs w:val="20"/>
        </w:rPr>
        <w:t xml:space="preserve"> </w:t>
      </w:r>
      <w:r>
        <w:rPr>
          <w:rFonts w:ascii="Times New Roman" w:hAnsi="Times New Roman" w:cs="Times New Roman"/>
          <w:sz w:val="20"/>
          <w:szCs w:val="20"/>
        </w:rPr>
        <w:t>(</w:t>
      </w:r>
      <w:r w:rsidRPr="001B1F09">
        <w:rPr>
          <w:rFonts w:ascii="Times New Roman" w:hAnsi="Times New Roman" w:cs="Times New Roman"/>
          <w:sz w:val="20"/>
          <w:szCs w:val="20"/>
        </w:rPr>
        <w:t>2010</w:t>
      </w:r>
      <w:r>
        <w:rPr>
          <w:rFonts w:ascii="Times New Roman" w:hAnsi="Times New Roman" w:cs="Times New Roman"/>
          <w:sz w:val="20"/>
          <w:szCs w:val="20"/>
        </w:rPr>
        <w:t>)</w:t>
      </w:r>
      <w:r w:rsidRPr="001B1F09">
        <w:rPr>
          <w:rFonts w:ascii="Times New Roman" w:hAnsi="Times New Roman" w:cs="Times New Roman"/>
          <w:sz w:val="20"/>
          <w:szCs w:val="20"/>
        </w:rPr>
        <w:t>. Prebiotics in aquaculture: a review. Aquaculture Nutrition 16: 117–136.</w:t>
      </w:r>
    </w:p>
    <w:p w14:paraId="45A1831B" w14:textId="6957C8B2" w:rsidR="005C2E3C" w:rsidRPr="006B5568" w:rsidRDefault="001B1F09" w:rsidP="001B1F09">
      <w:pPr>
        <w:pStyle w:val="ListParagraph"/>
        <w:tabs>
          <w:tab w:val="left" w:pos="384"/>
        </w:tabs>
        <w:spacing w:before="92" w:line="218" w:lineRule="exact"/>
        <w:ind w:firstLine="0"/>
        <w:rPr>
          <w:rFonts w:ascii="Times New Roman" w:hAnsi="Times New Roman" w:cs="Times New Roman"/>
          <w:sz w:val="20"/>
          <w:szCs w:val="20"/>
        </w:rPr>
        <w:sectPr w:rsidR="005C2E3C" w:rsidRPr="006B5568" w:rsidSect="00146DAC">
          <w:headerReference w:type="even" r:id="rId16"/>
          <w:headerReference w:type="default" r:id="rId17"/>
          <w:footerReference w:type="even" r:id="rId18"/>
          <w:footerReference w:type="default" r:id="rId19"/>
          <w:headerReference w:type="first" r:id="rId20"/>
          <w:footerReference w:type="first" r:id="rId21"/>
          <w:type w:val="continuous"/>
          <w:pgSz w:w="11910" w:h="16840"/>
          <w:pgMar w:top="1740" w:right="600" w:bottom="840" w:left="620" w:header="720" w:footer="720" w:gutter="0"/>
          <w:cols w:space="720"/>
          <w:docGrid w:linePitch="299"/>
        </w:sectPr>
      </w:pPr>
      <w:r w:rsidRPr="006B5568">
        <w:rPr>
          <w:rFonts w:ascii="Times New Roman" w:hAnsi="Times New Roman" w:cs="Times New Roman"/>
          <w:sz w:val="20"/>
          <w:szCs w:val="20"/>
        </w:rPr>
        <w:t xml:space="preserve"> </w:t>
      </w: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bidi="fa-IR"/>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EE791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wrap anchorx="page"/>
                <w10:anchorlock/>
              </v:group>
            </w:pict>
          </mc:Fallback>
        </mc:AlternateContent>
      </w:r>
    </w:p>
    <w:p w14:paraId="1C94A0D4" w14:textId="7923E055" w:rsidR="005C2E3C" w:rsidRPr="006B5568" w:rsidRDefault="005C2E3C" w:rsidP="006A1E48">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lastRenderedPageBreak/>
        <w:t xml:space="preserve">          </w:t>
      </w:r>
      <w:r w:rsidR="006A1E48">
        <w:rPr>
          <w:rFonts w:ascii="Times New Roman" w:hAnsi="Times New Roman" w:cs="Times New Roman"/>
          <w:noProof/>
          <w:sz w:val="20"/>
          <w:szCs w:val="20"/>
          <w:lang w:bidi="fa-IR"/>
        </w:rPr>
        <w:drawing>
          <wp:inline distT="0" distB="0" distL="0" distR="0" wp14:anchorId="70620C12" wp14:editId="0CEBD0D8">
            <wp:extent cx="1078992" cy="1435608"/>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JPG"/>
                    <pic:cNvPicPr/>
                  </pic:nvPicPr>
                  <pic:blipFill>
                    <a:blip r:embed="rId22">
                      <a:extLst>
                        <a:ext uri="{28A0092B-C50C-407E-A947-70E740481C1C}">
                          <a14:useLocalDpi xmlns:a14="http://schemas.microsoft.com/office/drawing/2010/main" val="0"/>
                        </a:ext>
                      </a:extLst>
                    </a:blip>
                    <a:stretch>
                      <a:fillRect/>
                    </a:stretch>
                  </pic:blipFill>
                  <pic:spPr>
                    <a:xfrm>
                      <a:off x="0" y="0"/>
                      <a:ext cx="1078992" cy="1435608"/>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p>
    <w:p w14:paraId="0CEAAF0C" w14:textId="13F74C3A" w:rsidR="005C2E3C" w:rsidRDefault="00B71B78" w:rsidP="009F5553">
      <w:pPr>
        <w:spacing w:before="41"/>
        <w:ind w:left="215" w:right="232"/>
        <w:jc w:val="both"/>
        <w:rPr>
          <w:rFonts w:ascii="Times New Roman" w:hAnsi="Times New Roman" w:cs="Times New Roman"/>
          <w:sz w:val="20"/>
          <w:szCs w:val="20"/>
        </w:rPr>
      </w:pPr>
      <w:r w:rsidRPr="00B71B78">
        <w:rPr>
          <w:rFonts w:ascii="Times New Roman" w:hAnsi="Times New Roman" w:cs="Times New Roman"/>
          <w:sz w:val="20"/>
          <w:szCs w:val="20"/>
        </w:rPr>
        <w:t xml:space="preserve">I am Ghasem Ashouri, </w:t>
      </w:r>
      <w:r w:rsidR="003C47BD">
        <w:rPr>
          <w:rFonts w:ascii="Times New Roman" w:hAnsi="Times New Roman" w:cs="Times New Roman"/>
          <w:sz w:val="20"/>
          <w:szCs w:val="20"/>
        </w:rPr>
        <w:t xml:space="preserve">a </w:t>
      </w:r>
      <w:r w:rsidRPr="00B71B78">
        <w:rPr>
          <w:rFonts w:ascii="Times New Roman" w:hAnsi="Times New Roman" w:cs="Times New Roman"/>
          <w:sz w:val="20"/>
          <w:szCs w:val="20"/>
        </w:rPr>
        <w:t>PhD student in Isfahan University of Technology.</w:t>
      </w:r>
      <w:r w:rsidRPr="00B71B78">
        <w:t xml:space="preserve"> </w:t>
      </w:r>
      <w:r w:rsidRPr="00B71B78">
        <w:rPr>
          <w:rFonts w:ascii="Times New Roman" w:hAnsi="Times New Roman" w:cs="Times New Roman"/>
          <w:sz w:val="20"/>
          <w:szCs w:val="20"/>
        </w:rPr>
        <w:t xml:space="preserve">I am doing my thesis on the effect of </w:t>
      </w:r>
      <w:r>
        <w:rPr>
          <w:rFonts w:ascii="Times New Roman" w:hAnsi="Times New Roman" w:cs="Times New Roman"/>
          <w:sz w:val="20"/>
          <w:szCs w:val="20"/>
        </w:rPr>
        <w:t>additive supplements</w:t>
      </w:r>
      <w:r w:rsidRPr="00B71B78">
        <w:rPr>
          <w:rFonts w:ascii="Times New Roman" w:hAnsi="Times New Roman" w:cs="Times New Roman"/>
          <w:sz w:val="20"/>
          <w:szCs w:val="20"/>
        </w:rPr>
        <w:t xml:space="preserve"> on </w:t>
      </w:r>
      <w:r>
        <w:rPr>
          <w:rFonts w:ascii="Times New Roman" w:hAnsi="Times New Roman" w:cs="Times New Roman"/>
          <w:sz w:val="20"/>
          <w:szCs w:val="20"/>
        </w:rPr>
        <w:t xml:space="preserve">growth performance, digestive enzyme activity and intestinal </w:t>
      </w:r>
      <w:r w:rsidR="00E05B87" w:rsidRPr="00E05B87">
        <w:rPr>
          <w:rFonts w:ascii="Times New Roman" w:hAnsi="Times New Roman" w:cs="Times New Roman"/>
          <w:sz w:val="20"/>
          <w:szCs w:val="20"/>
        </w:rPr>
        <w:t>morphology</w:t>
      </w:r>
      <w:r w:rsidRPr="00B71B78">
        <w:rPr>
          <w:rFonts w:ascii="Times New Roman" w:hAnsi="Times New Roman" w:cs="Times New Roman"/>
          <w:sz w:val="20"/>
          <w:szCs w:val="20"/>
        </w:rPr>
        <w:t xml:space="preserve"> in fish under supervision of </w:t>
      </w:r>
      <w:r w:rsidR="00481BDF">
        <w:rPr>
          <w:rFonts w:ascii="Times New Roman" w:hAnsi="Times New Roman" w:cs="Times New Roman"/>
          <w:sz w:val="20"/>
          <w:szCs w:val="20"/>
        </w:rPr>
        <w:t xml:space="preserve">Dr. Mahboobi Soofiani and </w:t>
      </w:r>
      <w:r w:rsidRPr="00B71B78">
        <w:rPr>
          <w:rFonts w:ascii="Times New Roman" w:hAnsi="Times New Roman" w:cs="Times New Roman"/>
          <w:sz w:val="20"/>
          <w:szCs w:val="20"/>
        </w:rPr>
        <w:t>Dr. Hoseinifar. I am deeply interested</w:t>
      </w:r>
      <w:r>
        <w:rPr>
          <w:rFonts w:ascii="Times New Roman" w:hAnsi="Times New Roman" w:cs="Times New Roman"/>
          <w:sz w:val="20"/>
          <w:szCs w:val="20"/>
        </w:rPr>
        <w:t xml:space="preserve"> to take part in your symposium.</w:t>
      </w:r>
      <w:r w:rsidR="003C47BD" w:rsidRPr="003C47BD">
        <w:t xml:space="preserve"> </w:t>
      </w:r>
      <w:r w:rsidR="003C47BD" w:rsidRPr="003C47BD">
        <w:rPr>
          <w:rFonts w:ascii="Times New Roman" w:hAnsi="Times New Roman" w:cs="Times New Roman"/>
          <w:sz w:val="20"/>
          <w:szCs w:val="20"/>
        </w:rPr>
        <w:t>I have expert in this field.</w:t>
      </w:r>
      <w:r w:rsidR="003C47BD" w:rsidRPr="003C47BD">
        <w:t xml:space="preserve"> </w:t>
      </w:r>
      <w:r w:rsidR="00DF6394" w:rsidRPr="00DF6394">
        <w:rPr>
          <w:rFonts w:ascii="Times New Roman" w:hAnsi="Times New Roman" w:cs="Times New Roman"/>
          <w:sz w:val="20"/>
          <w:szCs w:val="20"/>
        </w:rPr>
        <w:t>I am a motivated researcher in food biotechnology and diet supplementation sciences. My scientific life officially began on 2004; since then I realized that academic work is my dream job. Immune stimulation sciences is an interesting and extensive field. My study and research interests are gut microbiota, immunology, hypocholesterolemia effect and anti-hypertensive properties of probiotics and prebiotics</w:t>
      </w:r>
      <w:r w:rsidR="00DF6394">
        <w:rPr>
          <w:rFonts w:ascii="Times New Roman" w:hAnsi="Times New Roman" w:cs="Times New Roman"/>
          <w:sz w:val="20"/>
          <w:szCs w:val="20"/>
        </w:rPr>
        <w:t>.</w:t>
      </w:r>
      <w:r w:rsidR="009F5553">
        <w:rPr>
          <w:rFonts w:ascii="Times New Roman" w:hAnsi="Times New Roman" w:cs="Times New Roman"/>
          <w:sz w:val="20"/>
          <w:szCs w:val="20"/>
        </w:rPr>
        <w:t xml:space="preserve"> </w:t>
      </w:r>
    </w:p>
    <w:p w14:paraId="234957C7" w14:textId="77777777" w:rsidR="00B71B78" w:rsidRPr="006B5568" w:rsidRDefault="00B71B78" w:rsidP="00B71B78">
      <w:pPr>
        <w:spacing w:before="41" w:line="154" w:lineRule="exact"/>
        <w:ind w:left="213" w:right="231"/>
        <w:jc w:val="both"/>
        <w:rPr>
          <w:rFonts w:ascii="Times New Roman" w:hAnsi="Times New Roman" w:cs="Times New Roman"/>
          <w:sz w:val="20"/>
          <w:szCs w:val="20"/>
        </w:rPr>
      </w:pPr>
    </w:p>
    <w:p w14:paraId="224A2485" w14:textId="5642CB33" w:rsidR="005C2E3C" w:rsidRPr="006B5568" w:rsidRDefault="005C2E3C" w:rsidP="00B71B78">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23" w:history="1">
        <w:r w:rsidR="00B71B78" w:rsidRPr="00861D2A">
          <w:rPr>
            <w:rStyle w:val="Hyperlink"/>
            <w:rFonts w:ascii="Times New Roman" w:hAnsi="Times New Roman" w:cs="Times New Roman"/>
            <w:sz w:val="20"/>
            <w:szCs w:val="20"/>
          </w:rPr>
          <w:t>g.ashouri@na.iut.ac.ir</w:t>
        </w:r>
      </w:hyperlink>
    </w:p>
    <w:p w14:paraId="5E68547D" w14:textId="7179893A" w:rsidR="005C2E3C" w:rsidRPr="006B5568" w:rsidRDefault="005C2E3C" w:rsidP="009F5553">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bidi="fa-IR"/>
        </w:rPr>
        <mc:AlternateContent>
          <mc:Choice Requires="wps">
            <w:drawing>
              <wp:anchor distT="0" distB="0" distL="0" distR="0" simplePos="0" relativeHeight="251546112"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141DC" id="Straight Connector 13" o:spid="_x0000_s1026" style="position:absolute;left:0;text-align:left;z-index:25154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637E3B1D" w14:textId="1CBD30B3" w:rsidR="005C2E3C" w:rsidRPr="006B5568" w:rsidRDefault="009F5553" w:rsidP="009F5553">
      <w:pPr>
        <w:spacing w:before="39"/>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Pr>
          <w:rFonts w:ascii="Times New Roman" w:hAnsi="Times New Roman" w:cs="Times New Roman"/>
          <w:b/>
          <w:sz w:val="20"/>
          <w:szCs w:val="20"/>
        </w:rPr>
        <w:t>Notes/Comment</w:t>
      </w:r>
    </w:p>
    <w:p w14:paraId="7CAEC377" w14:textId="3781C249" w:rsidR="00434598" w:rsidRDefault="00434598" w:rsidP="009F5553">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27CFFD" w14:textId="77777777" w:rsidR="003C578D" w:rsidRDefault="003C578D" w:rsidP="00DB7489">
      <w:r>
        <w:separator/>
      </w:r>
    </w:p>
  </w:endnote>
  <w:endnote w:type="continuationSeparator" w:id="0">
    <w:p w14:paraId="49D28143" w14:textId="77777777" w:rsidR="003C578D" w:rsidRDefault="003C578D"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596495f2">
    <w:altName w:val="Times New Roman"/>
    <w:panose1 w:val="00000000000000000000"/>
    <w:charset w:val="00"/>
    <w:family w:val="roman"/>
    <w:notTrueType/>
    <w:pitch w:val="default"/>
  </w:font>
  <w:font w:name="AdvOT7fb33346.I">
    <w:altName w:val="Times New Roman"/>
    <w:panose1 w:val="00000000000000000000"/>
    <w:charset w:val="00"/>
    <w:family w:val="roman"/>
    <w:notTrueType/>
    <w:pitch w:val="default"/>
  </w:font>
  <w:font w:name="AdvOT596495f2+fb">
    <w:altName w:val="Times New Roman"/>
    <w:panose1 w:val="00000000000000000000"/>
    <w:charset w:val="00"/>
    <w:family w:val="roman"/>
    <w:notTrueType/>
    <w:pitch w:val="default"/>
  </w:font>
  <w:font w:name="AdvOT596495f2+22">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982F1" w14:textId="77777777" w:rsidR="006A1E48" w:rsidRDefault="006A1E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359C4" w14:textId="77777777" w:rsidR="006A1E48" w:rsidRDefault="006A1E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D498A" w14:textId="77777777" w:rsidR="006A1E48" w:rsidRDefault="006A1E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A047DF" w14:textId="77777777" w:rsidR="003C578D" w:rsidRDefault="003C578D" w:rsidP="00DB7489">
      <w:r>
        <w:separator/>
      </w:r>
    </w:p>
  </w:footnote>
  <w:footnote w:type="continuationSeparator" w:id="0">
    <w:p w14:paraId="2B9DC7BA" w14:textId="77777777" w:rsidR="003C578D" w:rsidRDefault="003C578D"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1A453" w14:textId="77777777" w:rsidR="006A1E48" w:rsidRDefault="006A1E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A67D7" w14:textId="41942501" w:rsidR="006A1E48" w:rsidRDefault="006A1E48">
    <w:pPr>
      <w:pStyle w:val="Header"/>
    </w:pPr>
    <w:r>
      <w:rPr>
        <w:noProof/>
        <w:lang w:bidi="fa-IR"/>
      </w:rPr>
      <w:drawing>
        <wp:inline distT="0" distB="0" distL="0" distR="0" wp14:anchorId="509BAB18" wp14:editId="0BCC5CA4">
          <wp:extent cx="6788150" cy="880222"/>
          <wp:effectExtent l="0" t="0" r="0" b="0"/>
          <wp:docPr id="5" name="Picture 5" descr="C:\Users\quantumphysics-sup\Desktop\World Nutritio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tumphysics-sup\Desktop\World Nutrition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1D6AA" w14:textId="77777777" w:rsidR="006A1E48" w:rsidRDefault="006A1E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40091"/>
    <w:rsid w:val="00050D96"/>
    <w:rsid w:val="000C3E81"/>
    <w:rsid w:val="00121117"/>
    <w:rsid w:val="001412D5"/>
    <w:rsid w:val="00146DAC"/>
    <w:rsid w:val="00184B3F"/>
    <w:rsid w:val="001B10C1"/>
    <w:rsid w:val="001B1F09"/>
    <w:rsid w:val="00205F59"/>
    <w:rsid w:val="00206FCE"/>
    <w:rsid w:val="00254333"/>
    <w:rsid w:val="00276DD4"/>
    <w:rsid w:val="002929A4"/>
    <w:rsid w:val="002D2D17"/>
    <w:rsid w:val="00301DD1"/>
    <w:rsid w:val="00303F0F"/>
    <w:rsid w:val="0037288E"/>
    <w:rsid w:val="003C0478"/>
    <w:rsid w:val="003C47BD"/>
    <w:rsid w:val="003C578D"/>
    <w:rsid w:val="00406DAF"/>
    <w:rsid w:val="00434598"/>
    <w:rsid w:val="00477FAA"/>
    <w:rsid w:val="00481722"/>
    <w:rsid w:val="00481BDF"/>
    <w:rsid w:val="004C52EC"/>
    <w:rsid w:val="00514953"/>
    <w:rsid w:val="00531D6D"/>
    <w:rsid w:val="00536BCF"/>
    <w:rsid w:val="00580B51"/>
    <w:rsid w:val="00596D06"/>
    <w:rsid w:val="005971AA"/>
    <w:rsid w:val="005C2E3C"/>
    <w:rsid w:val="00645733"/>
    <w:rsid w:val="00683A78"/>
    <w:rsid w:val="006A1E48"/>
    <w:rsid w:val="006B5568"/>
    <w:rsid w:val="00707916"/>
    <w:rsid w:val="007761CF"/>
    <w:rsid w:val="00784E71"/>
    <w:rsid w:val="007B1824"/>
    <w:rsid w:val="00851507"/>
    <w:rsid w:val="008C73BB"/>
    <w:rsid w:val="008E14B1"/>
    <w:rsid w:val="008E1BA9"/>
    <w:rsid w:val="008F0386"/>
    <w:rsid w:val="008F14BB"/>
    <w:rsid w:val="00904D98"/>
    <w:rsid w:val="00912B27"/>
    <w:rsid w:val="0091328E"/>
    <w:rsid w:val="00950098"/>
    <w:rsid w:val="009A1CBE"/>
    <w:rsid w:val="009D5FAC"/>
    <w:rsid w:val="009F4CD0"/>
    <w:rsid w:val="009F5553"/>
    <w:rsid w:val="00A13185"/>
    <w:rsid w:val="00A80AE0"/>
    <w:rsid w:val="00AD622D"/>
    <w:rsid w:val="00AD6376"/>
    <w:rsid w:val="00AF26CD"/>
    <w:rsid w:val="00AF7A3A"/>
    <w:rsid w:val="00B15B03"/>
    <w:rsid w:val="00B17175"/>
    <w:rsid w:val="00B71B78"/>
    <w:rsid w:val="00B754C2"/>
    <w:rsid w:val="00BF60DD"/>
    <w:rsid w:val="00C402E2"/>
    <w:rsid w:val="00C620C8"/>
    <w:rsid w:val="00C73A03"/>
    <w:rsid w:val="00CA779B"/>
    <w:rsid w:val="00D173AA"/>
    <w:rsid w:val="00DB7489"/>
    <w:rsid w:val="00DE1CF6"/>
    <w:rsid w:val="00DF6394"/>
    <w:rsid w:val="00E05B87"/>
    <w:rsid w:val="00E33847"/>
    <w:rsid w:val="00E56866"/>
    <w:rsid w:val="00EA44F6"/>
    <w:rsid w:val="00F01DDA"/>
    <w:rsid w:val="00F31B7D"/>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docId w15:val="{56696E4E-224E-43E8-8E0D-42565D3C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 w:type="table" w:styleId="TableGrid">
    <w:name w:val="Table Grid"/>
    <w:basedOn w:val="TableNormal"/>
    <w:uiPriority w:val="39"/>
    <w:rsid w:val="00F01D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01DDA"/>
    <w:rPr>
      <w:rFonts w:ascii="AdvOT596495f2" w:hAnsi="AdvOT596495f2" w:hint="default"/>
      <w:b w:val="0"/>
      <w:bCs w:val="0"/>
      <w:i w:val="0"/>
      <w:iCs w:val="0"/>
      <w:color w:val="000000"/>
      <w:sz w:val="14"/>
      <w:szCs w:val="14"/>
    </w:rPr>
  </w:style>
  <w:style w:type="character" w:customStyle="1" w:styleId="fontstyle21">
    <w:name w:val="fontstyle21"/>
    <w:basedOn w:val="DefaultParagraphFont"/>
    <w:rsid w:val="00F01DDA"/>
    <w:rPr>
      <w:rFonts w:ascii="AdvOT7fb33346.I" w:hAnsi="AdvOT7fb33346.I" w:hint="default"/>
      <w:b w:val="0"/>
      <w:bCs w:val="0"/>
      <w:i w:val="0"/>
      <w:iCs w:val="0"/>
      <w:color w:val="000000"/>
      <w:sz w:val="14"/>
      <w:szCs w:val="14"/>
    </w:rPr>
  </w:style>
  <w:style w:type="character" w:customStyle="1" w:styleId="fontstyle31">
    <w:name w:val="fontstyle31"/>
    <w:basedOn w:val="DefaultParagraphFont"/>
    <w:rsid w:val="00F01DDA"/>
    <w:rPr>
      <w:rFonts w:ascii="AdvOT596495f2+fb" w:hAnsi="AdvOT596495f2+fb" w:hint="default"/>
      <w:b w:val="0"/>
      <w:bCs w:val="0"/>
      <w:i w:val="0"/>
      <w:iCs w:val="0"/>
      <w:color w:val="000000"/>
      <w:sz w:val="14"/>
      <w:szCs w:val="14"/>
    </w:rPr>
  </w:style>
  <w:style w:type="character" w:customStyle="1" w:styleId="fontstyle41">
    <w:name w:val="fontstyle41"/>
    <w:basedOn w:val="DefaultParagraphFont"/>
    <w:rsid w:val="00F01DDA"/>
    <w:rPr>
      <w:rFonts w:ascii="AdvOT596495f2+22" w:hAnsi="AdvOT596495f2+22" w:hint="default"/>
      <w:b w:val="0"/>
      <w:bCs w:val="0"/>
      <w:i w:val="0"/>
      <w:iCs w:val="0"/>
      <w:color w:val="000000"/>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114593452">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g.ashouri@na.iut.ac.ir" TargetMode="Externa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9.JP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1ADE1-CC7E-4862-A7D4-02216C440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user</cp:lastModifiedBy>
  <cp:revision>47</cp:revision>
  <dcterms:created xsi:type="dcterms:W3CDTF">2018-01-04T07:14:00Z</dcterms:created>
  <dcterms:modified xsi:type="dcterms:W3CDTF">2019-01-25T08:35:00Z</dcterms:modified>
</cp:coreProperties>
</file>