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4B09" w:rsidRPr="00E7561B" w:rsidRDefault="004F4523" w:rsidP="004F4523">
      <w:pPr>
        <w:autoSpaceDE w:val="0"/>
        <w:autoSpaceDN w:val="0"/>
        <w:adjustRightInd w:val="0"/>
        <w:spacing w:after="0" w:line="240" w:lineRule="auto"/>
        <w:rPr>
          <w:rFonts w:ascii="Arial" w:hAnsi="Arial" w:cs="Arial"/>
          <w:bCs/>
          <w:color w:val="262626"/>
          <w:sz w:val="24"/>
          <w:szCs w:val="24"/>
        </w:rPr>
      </w:pPr>
      <w:r w:rsidRPr="00E7561B">
        <w:rPr>
          <w:rFonts w:ascii="Arial" w:hAnsi="Arial" w:cs="Arial"/>
          <w:bCs/>
          <w:color w:val="262626"/>
          <w:sz w:val="24"/>
          <w:szCs w:val="24"/>
        </w:rPr>
        <w:t>Infant nutrition and child health --</w:t>
      </w:r>
      <w:r w:rsidRPr="00E7561B">
        <w:rPr>
          <w:rFonts w:ascii="Cambria Math" w:hAnsi="Cambria Math" w:cs="Cambria Math"/>
          <w:bCs/>
          <w:color w:val="262626"/>
          <w:sz w:val="24"/>
          <w:szCs w:val="24"/>
        </w:rPr>
        <w:t>‐</w:t>
      </w:r>
      <w:r w:rsidRPr="00E7561B">
        <w:rPr>
          <w:rFonts w:ascii="Arial" w:hAnsi="Arial" w:cs="Arial"/>
          <w:bCs/>
          <w:color w:val="262626"/>
          <w:sz w:val="24"/>
          <w:szCs w:val="24"/>
        </w:rPr>
        <w:t>evidence for diet against disease</w:t>
      </w:r>
    </w:p>
    <w:p w:rsidR="004F4523" w:rsidRPr="00E7561B" w:rsidRDefault="004F4523" w:rsidP="004F4523">
      <w:pPr>
        <w:autoSpaceDE w:val="0"/>
        <w:autoSpaceDN w:val="0"/>
        <w:adjustRightInd w:val="0"/>
        <w:spacing w:after="0" w:line="240" w:lineRule="auto"/>
        <w:rPr>
          <w:rFonts w:ascii="Arial" w:hAnsi="Arial" w:cs="Arial"/>
          <w:bCs/>
          <w:color w:val="262626"/>
          <w:sz w:val="24"/>
          <w:szCs w:val="24"/>
        </w:rPr>
      </w:pPr>
    </w:p>
    <w:p w:rsidR="004F4523" w:rsidRPr="00E7561B" w:rsidRDefault="004F4523" w:rsidP="004F4523">
      <w:pPr>
        <w:autoSpaceDE w:val="0"/>
        <w:autoSpaceDN w:val="0"/>
        <w:adjustRightInd w:val="0"/>
        <w:spacing w:after="0" w:line="240" w:lineRule="auto"/>
        <w:rPr>
          <w:rFonts w:ascii="Arial" w:hAnsi="Arial" w:cs="Arial"/>
          <w:bCs/>
          <w:color w:val="262626"/>
          <w:sz w:val="24"/>
          <w:szCs w:val="24"/>
        </w:rPr>
      </w:pPr>
      <w:r w:rsidRPr="00E7561B">
        <w:rPr>
          <w:rFonts w:ascii="Arial" w:hAnsi="Arial" w:cs="Arial"/>
          <w:bCs/>
          <w:color w:val="262626"/>
          <w:sz w:val="24"/>
          <w:szCs w:val="24"/>
        </w:rPr>
        <w:t>Inga Thorsdott</w:t>
      </w:r>
      <w:r w:rsidRPr="00E668DF">
        <w:rPr>
          <w:rFonts w:ascii="Arial" w:hAnsi="Arial" w:cs="Arial"/>
          <w:bCs/>
          <w:color w:val="262626"/>
          <w:sz w:val="24"/>
          <w:szCs w:val="24"/>
        </w:rPr>
        <w:t>ir</w:t>
      </w:r>
      <w:r w:rsidR="00E668DF" w:rsidRPr="00E668DF">
        <w:rPr>
          <w:rFonts w:ascii="Arial" w:hAnsi="Arial" w:cs="Arial"/>
          <w:bCs/>
          <w:color w:val="262626"/>
          <w:sz w:val="24"/>
          <w:szCs w:val="24"/>
          <w:vertAlign w:val="superscript"/>
        </w:rPr>
        <w:t>1</w:t>
      </w:r>
      <w:r w:rsidRPr="00E7561B">
        <w:rPr>
          <w:rFonts w:ascii="Arial" w:hAnsi="Arial" w:cs="Arial"/>
          <w:bCs/>
          <w:color w:val="262626"/>
          <w:sz w:val="24"/>
          <w:szCs w:val="24"/>
        </w:rPr>
        <w:t>, Agneta Hörnell</w:t>
      </w:r>
      <w:r w:rsidR="00E668DF" w:rsidRPr="00E668DF">
        <w:rPr>
          <w:rFonts w:ascii="Arial" w:hAnsi="Arial" w:cs="Arial"/>
          <w:bCs/>
          <w:color w:val="262626"/>
          <w:sz w:val="24"/>
          <w:szCs w:val="24"/>
          <w:vertAlign w:val="superscript"/>
        </w:rPr>
        <w:t>2</w:t>
      </w:r>
      <w:r w:rsidRPr="00E7561B">
        <w:rPr>
          <w:rFonts w:ascii="Arial" w:hAnsi="Arial" w:cs="Arial"/>
          <w:bCs/>
          <w:color w:val="262626"/>
          <w:sz w:val="24"/>
          <w:szCs w:val="24"/>
        </w:rPr>
        <w:t>, Britt Lande</w:t>
      </w:r>
      <w:r w:rsidR="00E668DF" w:rsidRPr="00E668DF">
        <w:rPr>
          <w:rFonts w:ascii="Arial" w:hAnsi="Arial" w:cs="Arial"/>
          <w:bCs/>
          <w:color w:val="262626"/>
          <w:sz w:val="24"/>
          <w:szCs w:val="24"/>
          <w:vertAlign w:val="superscript"/>
        </w:rPr>
        <w:t>3</w:t>
      </w:r>
      <w:r w:rsidRPr="00E7561B">
        <w:rPr>
          <w:rFonts w:ascii="Arial" w:hAnsi="Arial" w:cs="Arial"/>
          <w:bCs/>
          <w:color w:val="262626"/>
          <w:sz w:val="24"/>
          <w:szCs w:val="24"/>
        </w:rPr>
        <w:t>, Hanna Lagström</w:t>
      </w:r>
      <w:r w:rsidR="00E668DF" w:rsidRPr="00E668DF">
        <w:rPr>
          <w:rFonts w:ascii="Arial" w:hAnsi="Arial" w:cs="Arial"/>
          <w:bCs/>
          <w:color w:val="262626"/>
          <w:sz w:val="24"/>
          <w:szCs w:val="24"/>
          <w:vertAlign w:val="superscript"/>
        </w:rPr>
        <w:t>4</w:t>
      </w:r>
    </w:p>
    <w:p w:rsidR="00E668DF" w:rsidRDefault="00E668DF" w:rsidP="00E668DF">
      <w:pPr>
        <w:autoSpaceDE w:val="0"/>
        <w:autoSpaceDN w:val="0"/>
        <w:adjustRightInd w:val="0"/>
        <w:spacing w:after="0" w:line="240" w:lineRule="auto"/>
        <w:rPr>
          <w:rFonts w:ascii="AdvGS" w:hAnsi="AdvGS" w:cs="AdvGS"/>
          <w:sz w:val="12"/>
          <w:szCs w:val="12"/>
        </w:rPr>
      </w:pPr>
    </w:p>
    <w:p w:rsidR="00E668DF" w:rsidRPr="00E668DF" w:rsidRDefault="00E668DF" w:rsidP="00E668DF">
      <w:pPr>
        <w:autoSpaceDE w:val="0"/>
        <w:autoSpaceDN w:val="0"/>
        <w:adjustRightInd w:val="0"/>
        <w:spacing w:after="0" w:line="240" w:lineRule="auto"/>
        <w:rPr>
          <w:rFonts w:ascii="AdvGS" w:hAnsi="AdvGS" w:cs="AdvGS"/>
          <w:sz w:val="18"/>
          <w:szCs w:val="18"/>
        </w:rPr>
      </w:pPr>
      <w:r w:rsidRPr="00E668DF">
        <w:rPr>
          <w:rFonts w:ascii="AdvGS" w:hAnsi="AdvGS" w:cs="AdvGS"/>
          <w:sz w:val="16"/>
          <w:szCs w:val="16"/>
        </w:rPr>
        <w:t>1</w:t>
      </w:r>
      <w:r>
        <w:rPr>
          <w:rFonts w:ascii="AdvGS" w:hAnsi="AdvGS" w:cs="AdvGS"/>
          <w:sz w:val="18"/>
          <w:szCs w:val="18"/>
        </w:rPr>
        <w:t>School of Health Sciences, University of Iceland, Reykjavik, Iceland</w:t>
      </w:r>
    </w:p>
    <w:p w:rsidR="00E668DF" w:rsidRDefault="00E668DF" w:rsidP="00E668DF">
      <w:pPr>
        <w:autoSpaceDE w:val="0"/>
        <w:autoSpaceDN w:val="0"/>
        <w:adjustRightInd w:val="0"/>
        <w:spacing w:after="0" w:line="240" w:lineRule="auto"/>
        <w:rPr>
          <w:rFonts w:ascii="AdvGS" w:hAnsi="AdvGS" w:cs="AdvGS"/>
          <w:sz w:val="12"/>
          <w:szCs w:val="12"/>
        </w:rPr>
      </w:pPr>
      <w:r w:rsidRPr="00E668DF">
        <w:rPr>
          <w:rFonts w:ascii="AdvGS" w:hAnsi="AdvGS" w:cs="AdvGS"/>
          <w:sz w:val="16"/>
          <w:szCs w:val="16"/>
        </w:rPr>
        <w:t>2</w:t>
      </w:r>
      <w:r>
        <w:rPr>
          <w:rFonts w:ascii="AdvGS" w:hAnsi="AdvGS" w:cs="AdvGS"/>
          <w:sz w:val="18"/>
          <w:szCs w:val="18"/>
        </w:rPr>
        <w:t xml:space="preserve"> Department of Food and Nutrition, Umea° University, Umea°, Sweden </w:t>
      </w:r>
    </w:p>
    <w:p w:rsidR="004F4523" w:rsidRDefault="00E668DF" w:rsidP="00E668DF">
      <w:pPr>
        <w:autoSpaceDE w:val="0"/>
        <w:autoSpaceDN w:val="0"/>
        <w:adjustRightInd w:val="0"/>
        <w:spacing w:after="0" w:line="240" w:lineRule="auto"/>
        <w:rPr>
          <w:rFonts w:ascii="AdvGS" w:hAnsi="AdvGS" w:cs="AdvGS"/>
          <w:sz w:val="18"/>
          <w:szCs w:val="18"/>
        </w:rPr>
      </w:pPr>
      <w:r w:rsidRPr="00E668DF">
        <w:rPr>
          <w:rFonts w:ascii="AdvGS" w:hAnsi="AdvGS" w:cs="AdvGS"/>
          <w:sz w:val="16"/>
          <w:szCs w:val="16"/>
        </w:rPr>
        <w:t>3</w:t>
      </w:r>
      <w:r>
        <w:rPr>
          <w:rFonts w:ascii="AdvGS" w:hAnsi="AdvGS" w:cs="AdvGS"/>
          <w:sz w:val="18"/>
          <w:szCs w:val="18"/>
        </w:rPr>
        <w:t xml:space="preserve">Division of Public Health, Norwegian Directorate of Health, Oslo,Norway </w:t>
      </w:r>
    </w:p>
    <w:p w:rsidR="00E668DF" w:rsidRPr="00E668DF" w:rsidRDefault="00E668DF" w:rsidP="00E668DF">
      <w:pPr>
        <w:autoSpaceDE w:val="0"/>
        <w:autoSpaceDN w:val="0"/>
        <w:adjustRightInd w:val="0"/>
        <w:spacing w:after="0" w:line="240" w:lineRule="auto"/>
        <w:rPr>
          <w:rFonts w:ascii="AdvGS" w:hAnsi="AdvGS" w:cs="AdvGS"/>
          <w:sz w:val="18"/>
          <w:szCs w:val="18"/>
        </w:rPr>
      </w:pPr>
      <w:r w:rsidRPr="00E668DF">
        <w:rPr>
          <w:rFonts w:ascii="AdvGS" w:hAnsi="AdvGS" w:cs="AdvGS"/>
          <w:sz w:val="16"/>
          <w:szCs w:val="16"/>
        </w:rPr>
        <w:t>4</w:t>
      </w:r>
      <w:r>
        <w:rPr>
          <w:rFonts w:ascii="AdvGS" w:hAnsi="AdvGS" w:cs="AdvGS"/>
          <w:sz w:val="18"/>
          <w:szCs w:val="18"/>
        </w:rPr>
        <w:t>Turku Institute for Child and Youth Research, University of Turku, Turku, Finland</w:t>
      </w:r>
    </w:p>
    <w:p w:rsidR="00E668DF" w:rsidRDefault="00E668DF" w:rsidP="00BE5ABE">
      <w:pPr>
        <w:autoSpaceDE w:val="0"/>
        <w:autoSpaceDN w:val="0"/>
        <w:adjustRightInd w:val="0"/>
        <w:spacing w:after="0" w:line="240" w:lineRule="auto"/>
        <w:rPr>
          <w:rFonts w:ascii="Arial" w:hAnsi="Arial" w:cs="Arial"/>
          <w:bCs/>
          <w:color w:val="262626"/>
          <w:sz w:val="24"/>
          <w:szCs w:val="24"/>
        </w:rPr>
      </w:pPr>
    </w:p>
    <w:p w:rsidR="00BE5ABE" w:rsidRPr="00E7561B" w:rsidRDefault="004F4523" w:rsidP="00BE5ABE">
      <w:pPr>
        <w:autoSpaceDE w:val="0"/>
        <w:autoSpaceDN w:val="0"/>
        <w:adjustRightInd w:val="0"/>
        <w:spacing w:after="0" w:line="240" w:lineRule="auto"/>
        <w:rPr>
          <w:rFonts w:ascii="Arial" w:hAnsi="Arial" w:cs="Arial"/>
          <w:bCs/>
          <w:color w:val="262626"/>
          <w:sz w:val="24"/>
          <w:szCs w:val="24"/>
        </w:rPr>
      </w:pPr>
      <w:r w:rsidRPr="00E7561B">
        <w:rPr>
          <w:rFonts w:ascii="Arial" w:hAnsi="Arial" w:cs="Arial"/>
          <w:bCs/>
          <w:color w:val="262626"/>
          <w:sz w:val="24"/>
          <w:szCs w:val="24"/>
        </w:rPr>
        <w:t>Parents are adv</w:t>
      </w:r>
      <w:r w:rsidR="0018297A" w:rsidRPr="00E7561B">
        <w:rPr>
          <w:rFonts w:ascii="Arial" w:hAnsi="Arial" w:cs="Arial"/>
          <w:bCs/>
          <w:color w:val="262626"/>
          <w:sz w:val="24"/>
          <w:szCs w:val="24"/>
        </w:rPr>
        <w:t xml:space="preserve">ised to breastfeed their babies. </w:t>
      </w:r>
      <w:r w:rsidR="005172EC">
        <w:rPr>
          <w:rFonts w:ascii="Arial" w:hAnsi="Arial" w:cs="Arial"/>
          <w:bCs/>
          <w:color w:val="262626"/>
          <w:sz w:val="24"/>
          <w:szCs w:val="24"/>
        </w:rPr>
        <w:t>I</w:t>
      </w:r>
      <w:r w:rsidR="0018297A" w:rsidRPr="00E7561B">
        <w:rPr>
          <w:rFonts w:ascii="Arial" w:hAnsi="Arial" w:cs="Arial"/>
          <w:bCs/>
          <w:color w:val="262626"/>
          <w:sz w:val="24"/>
          <w:szCs w:val="24"/>
        </w:rPr>
        <w:t xml:space="preserve">ncreased knowledge has strengthened the evidence </w:t>
      </w:r>
      <w:r w:rsidR="00BE5ABE">
        <w:rPr>
          <w:rFonts w:ascii="Arial" w:hAnsi="Arial" w:cs="Arial"/>
          <w:bCs/>
          <w:color w:val="262626"/>
          <w:sz w:val="24"/>
          <w:szCs w:val="24"/>
        </w:rPr>
        <w:t>for this</w:t>
      </w:r>
      <w:r w:rsidR="0018297A" w:rsidRPr="00E7561B">
        <w:rPr>
          <w:rFonts w:ascii="Arial" w:hAnsi="Arial" w:cs="Arial"/>
          <w:bCs/>
          <w:color w:val="262626"/>
          <w:sz w:val="24"/>
          <w:szCs w:val="24"/>
        </w:rPr>
        <w:t xml:space="preserve"> recommendation. </w:t>
      </w:r>
      <w:r w:rsidR="00F22299" w:rsidRPr="00E7561B">
        <w:rPr>
          <w:rFonts w:ascii="Arial" w:hAnsi="Arial" w:cs="Arial"/>
          <w:bCs/>
          <w:color w:val="262626"/>
          <w:sz w:val="24"/>
          <w:szCs w:val="24"/>
        </w:rPr>
        <w:t xml:space="preserve">The results of </w:t>
      </w:r>
      <w:proofErr w:type="spellStart"/>
      <w:r w:rsidR="00F22299" w:rsidRPr="00E7561B">
        <w:rPr>
          <w:rFonts w:ascii="Arial" w:hAnsi="Arial" w:cs="Arial"/>
          <w:bCs/>
          <w:color w:val="262626"/>
          <w:sz w:val="24"/>
          <w:szCs w:val="24"/>
        </w:rPr>
        <w:t>systematic</w:t>
      </w:r>
      <w:proofErr w:type="spellEnd"/>
      <w:r w:rsidR="00F22299" w:rsidRPr="00E7561B">
        <w:rPr>
          <w:rFonts w:ascii="Arial" w:hAnsi="Arial" w:cs="Arial"/>
          <w:bCs/>
          <w:color w:val="262626"/>
          <w:sz w:val="24"/>
          <w:szCs w:val="24"/>
        </w:rPr>
        <w:t xml:space="preserve"> </w:t>
      </w:r>
      <w:proofErr w:type="spellStart"/>
      <w:r w:rsidR="00F22299" w:rsidRPr="00E7561B">
        <w:rPr>
          <w:rFonts w:ascii="Arial" w:hAnsi="Arial" w:cs="Arial"/>
          <w:bCs/>
          <w:color w:val="262626"/>
          <w:sz w:val="24"/>
          <w:szCs w:val="24"/>
        </w:rPr>
        <w:t>literature</w:t>
      </w:r>
      <w:proofErr w:type="spellEnd"/>
      <w:r w:rsidR="00F22299" w:rsidRPr="00E7561B">
        <w:rPr>
          <w:rFonts w:ascii="Arial" w:hAnsi="Arial" w:cs="Arial"/>
          <w:bCs/>
          <w:color w:val="262626"/>
          <w:sz w:val="24"/>
          <w:szCs w:val="24"/>
        </w:rPr>
        <w:t xml:space="preserve"> </w:t>
      </w:r>
      <w:proofErr w:type="spellStart"/>
      <w:r w:rsidR="00F22299" w:rsidRPr="00E7561B">
        <w:rPr>
          <w:rFonts w:ascii="Arial" w:hAnsi="Arial" w:cs="Arial"/>
          <w:bCs/>
          <w:color w:val="262626"/>
          <w:sz w:val="24"/>
          <w:szCs w:val="24"/>
        </w:rPr>
        <w:t>reviews</w:t>
      </w:r>
      <w:proofErr w:type="spellEnd"/>
      <w:r w:rsidR="00F22299" w:rsidRPr="00E7561B">
        <w:rPr>
          <w:rFonts w:ascii="Arial" w:hAnsi="Arial" w:cs="Arial"/>
          <w:bCs/>
          <w:color w:val="262626"/>
          <w:sz w:val="24"/>
          <w:szCs w:val="24"/>
        </w:rPr>
        <w:t xml:space="preserve"> </w:t>
      </w:r>
      <w:r w:rsidR="00E7561B" w:rsidRPr="00E7561B">
        <w:rPr>
          <w:rFonts w:ascii="Arial" w:hAnsi="Arial" w:cs="Arial"/>
          <w:bCs/>
          <w:color w:val="262626"/>
          <w:sz w:val="24"/>
          <w:szCs w:val="24"/>
        </w:rPr>
        <w:t>(</w:t>
      </w:r>
      <w:proofErr w:type="spellStart"/>
      <w:r w:rsidR="00E7561B" w:rsidRPr="00E7561B">
        <w:rPr>
          <w:rFonts w:ascii="Arial" w:hAnsi="Arial" w:cs="Arial"/>
          <w:bCs/>
          <w:color w:val="262626"/>
          <w:sz w:val="24"/>
          <w:szCs w:val="24"/>
        </w:rPr>
        <w:t>SLRs</w:t>
      </w:r>
      <w:proofErr w:type="spellEnd"/>
      <w:r w:rsidR="00E7561B" w:rsidRPr="00E7561B">
        <w:rPr>
          <w:rFonts w:ascii="Arial" w:hAnsi="Arial" w:cs="Arial"/>
          <w:bCs/>
          <w:color w:val="262626"/>
          <w:sz w:val="24"/>
          <w:szCs w:val="24"/>
        </w:rPr>
        <w:t xml:space="preserve">) </w:t>
      </w:r>
      <w:r w:rsidR="00734E8D">
        <w:rPr>
          <w:rFonts w:ascii="Arial" w:hAnsi="Arial" w:cs="Arial"/>
          <w:bCs/>
          <w:color w:val="262626"/>
          <w:sz w:val="24"/>
          <w:szCs w:val="24"/>
        </w:rPr>
        <w:t xml:space="preserve">and </w:t>
      </w:r>
      <w:proofErr w:type="spellStart"/>
      <w:r w:rsidR="00734E8D">
        <w:rPr>
          <w:rFonts w:ascii="Arial" w:hAnsi="Arial" w:cs="Arial"/>
          <w:bCs/>
          <w:color w:val="262626"/>
          <w:sz w:val="24"/>
          <w:szCs w:val="24"/>
        </w:rPr>
        <w:t>the</w:t>
      </w:r>
      <w:proofErr w:type="spellEnd"/>
      <w:r w:rsidR="00734E8D">
        <w:rPr>
          <w:rFonts w:ascii="Arial" w:hAnsi="Arial" w:cs="Arial"/>
          <w:bCs/>
          <w:color w:val="262626"/>
          <w:sz w:val="24"/>
          <w:szCs w:val="24"/>
        </w:rPr>
        <w:t xml:space="preserve"> </w:t>
      </w:r>
      <w:proofErr w:type="spellStart"/>
      <w:r w:rsidR="00734E8D">
        <w:rPr>
          <w:rFonts w:ascii="Arial" w:hAnsi="Arial" w:cs="Arial"/>
          <w:bCs/>
          <w:color w:val="262626"/>
          <w:sz w:val="24"/>
          <w:szCs w:val="24"/>
        </w:rPr>
        <w:t>work</w:t>
      </w:r>
      <w:proofErr w:type="spellEnd"/>
      <w:r w:rsidR="00734E8D">
        <w:rPr>
          <w:rFonts w:ascii="Arial" w:hAnsi="Arial" w:cs="Arial"/>
          <w:bCs/>
          <w:color w:val="262626"/>
          <w:sz w:val="24"/>
          <w:szCs w:val="24"/>
        </w:rPr>
        <w:t xml:space="preserve"> </w:t>
      </w:r>
      <w:proofErr w:type="spellStart"/>
      <w:r w:rsidR="00734E8D">
        <w:rPr>
          <w:rFonts w:ascii="Arial" w:hAnsi="Arial" w:cs="Arial"/>
          <w:bCs/>
          <w:color w:val="262626"/>
          <w:sz w:val="24"/>
          <w:szCs w:val="24"/>
        </w:rPr>
        <w:t>to</w:t>
      </w:r>
      <w:proofErr w:type="spellEnd"/>
      <w:r w:rsidR="00734E8D">
        <w:rPr>
          <w:rFonts w:ascii="Arial" w:hAnsi="Arial" w:cs="Arial"/>
          <w:bCs/>
          <w:color w:val="262626"/>
          <w:sz w:val="24"/>
          <w:szCs w:val="24"/>
        </w:rPr>
        <w:t xml:space="preserve"> </w:t>
      </w:r>
      <w:proofErr w:type="spellStart"/>
      <w:r w:rsidR="00734E8D">
        <w:rPr>
          <w:rFonts w:ascii="Arial" w:hAnsi="Arial" w:cs="Arial"/>
          <w:bCs/>
          <w:color w:val="262626"/>
          <w:sz w:val="24"/>
          <w:szCs w:val="24"/>
        </w:rPr>
        <w:t>prepare</w:t>
      </w:r>
      <w:proofErr w:type="spellEnd"/>
      <w:r w:rsidR="00734E8D">
        <w:rPr>
          <w:rFonts w:ascii="Arial" w:hAnsi="Arial" w:cs="Arial"/>
          <w:bCs/>
          <w:color w:val="262626"/>
          <w:sz w:val="24"/>
          <w:szCs w:val="24"/>
        </w:rPr>
        <w:t xml:space="preserve"> </w:t>
      </w:r>
      <w:proofErr w:type="spellStart"/>
      <w:r w:rsidR="00F22299" w:rsidRPr="00E7561B">
        <w:rPr>
          <w:rFonts w:ascii="Arial" w:hAnsi="Arial" w:cs="Arial"/>
          <w:bCs/>
          <w:color w:val="262626"/>
          <w:sz w:val="24"/>
          <w:szCs w:val="24"/>
        </w:rPr>
        <w:t>the</w:t>
      </w:r>
      <w:proofErr w:type="spellEnd"/>
      <w:r w:rsidR="00F22299" w:rsidRPr="00E7561B">
        <w:rPr>
          <w:rFonts w:ascii="Arial" w:hAnsi="Arial" w:cs="Arial"/>
          <w:bCs/>
          <w:color w:val="262626"/>
          <w:sz w:val="24"/>
          <w:szCs w:val="24"/>
        </w:rPr>
        <w:t xml:space="preserve"> </w:t>
      </w:r>
      <w:proofErr w:type="spellStart"/>
      <w:r w:rsidR="00F22299" w:rsidRPr="00E7561B">
        <w:rPr>
          <w:rFonts w:ascii="Arial" w:hAnsi="Arial" w:cs="Arial"/>
          <w:bCs/>
          <w:color w:val="262626"/>
          <w:sz w:val="24"/>
          <w:szCs w:val="24"/>
        </w:rPr>
        <w:t>Nordic</w:t>
      </w:r>
      <w:proofErr w:type="spellEnd"/>
      <w:r w:rsidR="00F22299" w:rsidRPr="00E7561B">
        <w:rPr>
          <w:rFonts w:ascii="Arial" w:hAnsi="Arial" w:cs="Arial"/>
          <w:bCs/>
          <w:color w:val="262626"/>
          <w:sz w:val="24"/>
          <w:szCs w:val="24"/>
        </w:rPr>
        <w:t xml:space="preserve"> </w:t>
      </w:r>
      <w:proofErr w:type="spellStart"/>
      <w:r w:rsidR="00F22299" w:rsidRPr="00E7561B">
        <w:rPr>
          <w:rFonts w:ascii="Arial" w:hAnsi="Arial" w:cs="Arial"/>
          <w:bCs/>
          <w:color w:val="262626"/>
          <w:sz w:val="24"/>
          <w:szCs w:val="24"/>
        </w:rPr>
        <w:t>nutrition</w:t>
      </w:r>
      <w:proofErr w:type="spellEnd"/>
      <w:r w:rsidR="00F22299" w:rsidRPr="00E7561B">
        <w:rPr>
          <w:rFonts w:ascii="Arial" w:hAnsi="Arial" w:cs="Arial"/>
          <w:bCs/>
          <w:color w:val="262626"/>
          <w:sz w:val="24"/>
          <w:szCs w:val="24"/>
        </w:rPr>
        <w:t xml:space="preserve"> recommendations will be reviewed and possible new evidence discussed. </w:t>
      </w:r>
      <w:r w:rsidR="00E7561B" w:rsidRPr="00E7561B">
        <w:rPr>
          <w:rFonts w:ascii="Arial" w:hAnsi="Arial" w:cs="Arial"/>
          <w:bCs/>
          <w:color w:val="262626"/>
          <w:sz w:val="24"/>
          <w:szCs w:val="24"/>
        </w:rPr>
        <w:t xml:space="preserve">According to the SLRs there is convincing </w:t>
      </w:r>
      <w:r w:rsidR="00440E53" w:rsidRPr="00E7561B">
        <w:rPr>
          <w:rFonts w:ascii="Arial" w:hAnsi="Arial" w:cs="Arial"/>
          <w:sz w:val="24"/>
          <w:szCs w:val="24"/>
        </w:rPr>
        <w:t xml:space="preserve">evidence </w:t>
      </w:r>
      <w:r w:rsidR="00E7561B" w:rsidRPr="00E7561B">
        <w:rPr>
          <w:rFonts w:ascii="Arial" w:hAnsi="Arial" w:cs="Arial"/>
          <w:sz w:val="24"/>
          <w:szCs w:val="24"/>
        </w:rPr>
        <w:t xml:space="preserve">for </w:t>
      </w:r>
      <w:r w:rsidR="00440E53" w:rsidRPr="00E7561B">
        <w:rPr>
          <w:rFonts w:ascii="Arial" w:hAnsi="Arial" w:cs="Arial"/>
          <w:sz w:val="24"/>
          <w:szCs w:val="24"/>
        </w:rPr>
        <w:t>a protective effect of</w:t>
      </w:r>
      <w:r w:rsidR="00F22299" w:rsidRPr="00E7561B">
        <w:rPr>
          <w:rFonts w:ascii="Arial" w:hAnsi="Arial" w:cs="Arial"/>
          <w:bCs/>
          <w:color w:val="262626"/>
          <w:sz w:val="24"/>
          <w:szCs w:val="24"/>
        </w:rPr>
        <w:t xml:space="preserve"> </w:t>
      </w:r>
      <w:r w:rsidR="00E7561B" w:rsidRPr="00E7561B">
        <w:rPr>
          <w:rFonts w:ascii="Arial" w:hAnsi="Arial" w:cs="Arial"/>
          <w:sz w:val="24"/>
          <w:szCs w:val="24"/>
        </w:rPr>
        <w:t>b</w:t>
      </w:r>
      <w:r w:rsidR="00440E53" w:rsidRPr="00E7561B">
        <w:rPr>
          <w:rFonts w:ascii="Arial" w:hAnsi="Arial" w:cs="Arial"/>
          <w:sz w:val="24"/>
          <w:szCs w:val="24"/>
        </w:rPr>
        <w:t>reastfeeding against overweight and obesity in childhood and adolescence, overall infections, acute otitis</w:t>
      </w:r>
      <w:r w:rsidR="00F22299" w:rsidRPr="00E7561B">
        <w:rPr>
          <w:rFonts w:ascii="Arial" w:hAnsi="Arial" w:cs="Arial"/>
          <w:bCs/>
          <w:color w:val="262626"/>
          <w:sz w:val="24"/>
          <w:szCs w:val="24"/>
        </w:rPr>
        <w:t xml:space="preserve"> </w:t>
      </w:r>
      <w:r w:rsidR="00440E53" w:rsidRPr="00E7561B">
        <w:rPr>
          <w:rFonts w:ascii="Arial" w:hAnsi="Arial" w:cs="Arial"/>
          <w:sz w:val="24"/>
          <w:szCs w:val="24"/>
        </w:rPr>
        <w:t>media, and gastrointestinal and respiratory tract infections. There was probable evidence that breastfeeding is a protective factor against inflammatory bowel disease, celiac disease,</w:t>
      </w:r>
      <w:r w:rsidR="00F22299" w:rsidRPr="00E7561B">
        <w:rPr>
          <w:rFonts w:ascii="Arial" w:hAnsi="Arial" w:cs="Arial"/>
          <w:bCs/>
          <w:color w:val="262626"/>
          <w:sz w:val="24"/>
          <w:szCs w:val="24"/>
        </w:rPr>
        <w:t xml:space="preserve"> </w:t>
      </w:r>
      <w:r w:rsidR="00440E53" w:rsidRPr="00E7561B">
        <w:rPr>
          <w:rFonts w:ascii="Arial" w:hAnsi="Arial" w:cs="Arial"/>
          <w:sz w:val="24"/>
          <w:szCs w:val="24"/>
        </w:rPr>
        <w:t>and diabetes (type 1 and 2), provides beneficial effects on IQ and developmental scores of children as well as a</w:t>
      </w:r>
      <w:r w:rsidR="00F22299" w:rsidRPr="00E7561B">
        <w:rPr>
          <w:rFonts w:ascii="Arial" w:hAnsi="Arial" w:cs="Arial"/>
          <w:bCs/>
          <w:color w:val="262626"/>
          <w:sz w:val="24"/>
          <w:szCs w:val="24"/>
        </w:rPr>
        <w:t xml:space="preserve"> </w:t>
      </w:r>
      <w:r w:rsidR="00440E53" w:rsidRPr="00E7561B">
        <w:rPr>
          <w:rFonts w:ascii="Arial" w:hAnsi="Arial" w:cs="Arial"/>
          <w:sz w:val="24"/>
          <w:szCs w:val="24"/>
        </w:rPr>
        <w:t>small reductive effect on blood pressure and blood cholesterol levels in adulthood.</w:t>
      </w:r>
      <w:r w:rsidR="00E7561B">
        <w:rPr>
          <w:rFonts w:ascii="Arial" w:hAnsi="Arial" w:cs="Arial"/>
          <w:bCs/>
          <w:color w:val="262626"/>
          <w:sz w:val="24"/>
          <w:szCs w:val="24"/>
        </w:rPr>
        <w:t xml:space="preserve"> </w:t>
      </w:r>
      <w:r w:rsidR="00A406BD" w:rsidRPr="00E7561B">
        <w:rPr>
          <w:rFonts w:ascii="Arial" w:hAnsi="Arial" w:cs="Arial"/>
          <w:sz w:val="24"/>
          <w:szCs w:val="24"/>
        </w:rPr>
        <w:t>Higher protein intake in i</w:t>
      </w:r>
      <w:r w:rsidR="00E7561B" w:rsidRPr="00E7561B">
        <w:rPr>
          <w:rFonts w:ascii="Arial" w:hAnsi="Arial" w:cs="Arial"/>
          <w:sz w:val="24"/>
          <w:szCs w:val="24"/>
        </w:rPr>
        <w:t xml:space="preserve">nfancy and early </w:t>
      </w:r>
      <w:r w:rsidR="00A406BD" w:rsidRPr="00E7561B">
        <w:rPr>
          <w:rFonts w:ascii="Arial" w:hAnsi="Arial" w:cs="Arial"/>
          <w:sz w:val="24"/>
          <w:szCs w:val="24"/>
        </w:rPr>
        <w:t>childhood is convincingly associated with increased growth and highe</w:t>
      </w:r>
      <w:r w:rsidR="00E7561B" w:rsidRPr="00E7561B">
        <w:rPr>
          <w:rFonts w:ascii="Arial" w:hAnsi="Arial" w:cs="Arial"/>
          <w:sz w:val="24"/>
          <w:szCs w:val="24"/>
        </w:rPr>
        <w:t xml:space="preserve">r </w:t>
      </w:r>
      <w:r w:rsidR="00C84382">
        <w:rPr>
          <w:rFonts w:ascii="Arial" w:hAnsi="Arial" w:cs="Arial"/>
          <w:sz w:val="24"/>
          <w:szCs w:val="24"/>
        </w:rPr>
        <w:t xml:space="preserve">BMI </w:t>
      </w:r>
      <w:r w:rsidR="00E7561B" w:rsidRPr="00E7561B">
        <w:rPr>
          <w:rFonts w:ascii="Arial" w:hAnsi="Arial" w:cs="Arial"/>
          <w:sz w:val="24"/>
          <w:szCs w:val="24"/>
        </w:rPr>
        <w:t>in childhood.</w:t>
      </w:r>
      <w:r w:rsidR="00A406BD" w:rsidRPr="00E7561B">
        <w:rPr>
          <w:rFonts w:ascii="Arial" w:hAnsi="Arial" w:cs="Arial"/>
          <w:sz w:val="24"/>
          <w:szCs w:val="24"/>
        </w:rPr>
        <w:t xml:space="preserve"> Protein intake between 15 E% and 20 E% in</w:t>
      </w:r>
      <w:r w:rsidR="00E7561B" w:rsidRPr="00E7561B">
        <w:rPr>
          <w:rFonts w:ascii="Arial" w:hAnsi="Arial" w:cs="Arial"/>
          <w:sz w:val="24"/>
          <w:szCs w:val="24"/>
        </w:rPr>
        <w:t xml:space="preserve"> </w:t>
      </w:r>
      <w:r w:rsidR="00A406BD" w:rsidRPr="00E7561B">
        <w:rPr>
          <w:rFonts w:ascii="Arial" w:hAnsi="Arial" w:cs="Arial"/>
          <w:sz w:val="24"/>
          <w:szCs w:val="24"/>
        </w:rPr>
        <w:t>early childhood has been associated with an increased risk of being overweight lat</w:t>
      </w:r>
      <w:r w:rsidR="00C84382">
        <w:rPr>
          <w:rFonts w:ascii="Arial" w:hAnsi="Arial" w:cs="Arial"/>
          <w:sz w:val="24"/>
          <w:szCs w:val="24"/>
        </w:rPr>
        <w:t>er in life</w:t>
      </w:r>
      <w:r w:rsidR="00A406BD" w:rsidRPr="00E7561B">
        <w:rPr>
          <w:rFonts w:ascii="Arial" w:hAnsi="Arial" w:cs="Arial"/>
          <w:sz w:val="24"/>
          <w:szCs w:val="24"/>
        </w:rPr>
        <w:t xml:space="preserve">. </w:t>
      </w:r>
      <w:r w:rsidR="00E7561B">
        <w:rPr>
          <w:rFonts w:ascii="Arial" w:hAnsi="Arial" w:cs="Arial"/>
          <w:sz w:val="24"/>
          <w:szCs w:val="24"/>
        </w:rPr>
        <w:t>Too little is known about infant diet and cancer, allergy and food intolerance</w:t>
      </w:r>
      <w:r w:rsidR="00E668DF">
        <w:rPr>
          <w:rFonts w:ascii="Arial" w:hAnsi="Arial" w:cs="Arial"/>
          <w:sz w:val="24"/>
          <w:szCs w:val="24"/>
        </w:rPr>
        <w:t>. S</w:t>
      </w:r>
      <w:r w:rsidR="00BE5ABE">
        <w:rPr>
          <w:rFonts w:ascii="Arial" w:hAnsi="Arial" w:cs="Arial"/>
          <w:sz w:val="24"/>
          <w:szCs w:val="24"/>
        </w:rPr>
        <w:t xml:space="preserve">tudies </w:t>
      </w:r>
      <w:r w:rsidR="005172EC">
        <w:rPr>
          <w:rFonts w:ascii="Arial" w:hAnsi="Arial" w:cs="Arial"/>
          <w:sz w:val="24"/>
          <w:szCs w:val="24"/>
        </w:rPr>
        <w:t xml:space="preserve">on allergy and intolerance have indicated that early introduction of a variety of other foods </w:t>
      </w:r>
      <w:r w:rsidR="00E668DF">
        <w:rPr>
          <w:rFonts w:ascii="Arial" w:hAnsi="Arial" w:cs="Arial"/>
          <w:sz w:val="24"/>
          <w:szCs w:val="24"/>
        </w:rPr>
        <w:t>into the inf</w:t>
      </w:r>
      <w:bookmarkStart w:id="0" w:name="_GoBack"/>
      <w:bookmarkEnd w:id="0"/>
      <w:r w:rsidR="00E668DF">
        <w:rPr>
          <w:rFonts w:ascii="Arial" w:hAnsi="Arial" w:cs="Arial"/>
          <w:sz w:val="24"/>
          <w:szCs w:val="24"/>
        </w:rPr>
        <w:t xml:space="preserve">ant‘s diet while also giving breastmilk </w:t>
      </w:r>
      <w:r w:rsidR="005172EC">
        <w:rPr>
          <w:rFonts w:ascii="Arial" w:hAnsi="Arial" w:cs="Arial"/>
          <w:sz w:val="24"/>
          <w:szCs w:val="24"/>
        </w:rPr>
        <w:t xml:space="preserve">may be protective. </w:t>
      </w:r>
      <w:r w:rsidR="00BE5ABE" w:rsidRPr="00E7561B">
        <w:rPr>
          <w:rFonts w:ascii="Arial" w:hAnsi="Arial" w:cs="Arial"/>
          <w:bCs/>
          <w:color w:val="262626"/>
          <w:sz w:val="24"/>
          <w:szCs w:val="24"/>
        </w:rPr>
        <w:t xml:space="preserve">Breastmilk </w:t>
      </w:r>
      <w:r w:rsidR="00BE5ABE">
        <w:rPr>
          <w:rFonts w:ascii="Arial" w:hAnsi="Arial" w:cs="Arial"/>
          <w:bCs/>
          <w:color w:val="262626"/>
          <w:sz w:val="24"/>
          <w:szCs w:val="24"/>
        </w:rPr>
        <w:t>i</w:t>
      </w:r>
      <w:r w:rsidR="00BE5ABE" w:rsidRPr="00E7561B">
        <w:rPr>
          <w:rFonts w:ascii="Arial" w:hAnsi="Arial" w:cs="Arial"/>
          <w:bCs/>
          <w:color w:val="262626"/>
          <w:sz w:val="24"/>
          <w:szCs w:val="24"/>
        </w:rPr>
        <w:t>s</w:t>
      </w:r>
      <w:r w:rsidR="00BE5ABE">
        <w:rPr>
          <w:rFonts w:ascii="Arial" w:hAnsi="Arial" w:cs="Arial"/>
          <w:bCs/>
          <w:color w:val="262626"/>
          <w:sz w:val="24"/>
          <w:szCs w:val="24"/>
        </w:rPr>
        <w:t xml:space="preserve"> the optimal infant diet and o</w:t>
      </w:r>
      <w:r w:rsidR="00BE5ABE" w:rsidRPr="00E7561B">
        <w:rPr>
          <w:rFonts w:ascii="Arial" w:hAnsi="Arial" w:cs="Arial"/>
          <w:bCs/>
          <w:color w:val="262626"/>
          <w:sz w:val="24"/>
          <w:szCs w:val="24"/>
        </w:rPr>
        <w:t>ffical recommendations world wide have followed the WHO‘s recommendation on exclusive breastfeeding for the infant‘s first six months, and continued breastfeeding parallell to giving other food until one or two year of age or as long as it suits the family.</w:t>
      </w:r>
      <w:r w:rsidR="005172EC">
        <w:rPr>
          <w:rFonts w:ascii="Arial" w:hAnsi="Arial" w:cs="Arial"/>
          <w:bCs/>
          <w:color w:val="262626"/>
          <w:sz w:val="24"/>
          <w:szCs w:val="24"/>
        </w:rPr>
        <w:t xml:space="preserve"> </w:t>
      </w:r>
    </w:p>
    <w:p w:rsidR="00F22299" w:rsidRPr="00E7561B" w:rsidRDefault="00E7561B" w:rsidP="00A406BD">
      <w:pPr>
        <w:autoSpaceDE w:val="0"/>
        <w:autoSpaceDN w:val="0"/>
        <w:adjustRightInd w:val="0"/>
        <w:spacing w:after="0" w:line="240" w:lineRule="auto"/>
        <w:rPr>
          <w:rFonts w:ascii="Arial" w:hAnsi="Arial" w:cs="Arial"/>
          <w:bCs/>
          <w:color w:val="262626"/>
          <w:sz w:val="24"/>
          <w:szCs w:val="24"/>
        </w:rPr>
      </w:pPr>
      <w:r>
        <w:rPr>
          <w:rFonts w:ascii="Arial" w:hAnsi="Arial" w:cs="Arial"/>
          <w:sz w:val="24"/>
          <w:szCs w:val="24"/>
        </w:rPr>
        <w:t xml:space="preserve"> </w:t>
      </w:r>
    </w:p>
    <w:sectPr w:rsidR="00F22299" w:rsidRPr="00E7561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dvGS">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523"/>
    <w:rsid w:val="0018297A"/>
    <w:rsid w:val="002D7E2F"/>
    <w:rsid w:val="00440E53"/>
    <w:rsid w:val="00464B09"/>
    <w:rsid w:val="004F4523"/>
    <w:rsid w:val="005172EC"/>
    <w:rsid w:val="00734E8D"/>
    <w:rsid w:val="00A406BD"/>
    <w:rsid w:val="00BE5ABE"/>
    <w:rsid w:val="00C84382"/>
    <w:rsid w:val="00E668DF"/>
    <w:rsid w:val="00E7561B"/>
    <w:rsid w:val="00F22299"/>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F939C"/>
  <w15:docId w15:val="{F989D1EE-5DC8-4F52-AAC3-59FB30610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s-I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315</Words>
  <Characters>1802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Inga</cp:lastModifiedBy>
  <cp:revision>2</cp:revision>
  <cp:lastPrinted>2016-04-11T08:49:00Z</cp:lastPrinted>
  <dcterms:created xsi:type="dcterms:W3CDTF">2018-02-20T19:44:00Z</dcterms:created>
  <dcterms:modified xsi:type="dcterms:W3CDTF">2018-02-20T19:44:00Z</dcterms:modified>
</cp:coreProperties>
</file>