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C29" w:rsidRPr="006924F2" w:rsidRDefault="001F57D6" w:rsidP="006924F2">
      <w:pPr>
        <w:spacing w:after="0" w:line="276" w:lineRule="auto"/>
        <w:rPr>
          <w:rFonts w:ascii="Arial" w:hAnsi="Arial" w:cs="Arial"/>
          <w:snapToGrid w:val="0"/>
          <w:lang w:bidi="en-US"/>
        </w:rPr>
      </w:pPr>
      <w:bookmarkStart w:id="0" w:name="_GoBack"/>
      <w:bookmarkEnd w:id="0"/>
      <w:r w:rsidRPr="001F57D6">
        <w:rPr>
          <w:rFonts w:ascii="Arial" w:hAnsi="Arial" w:cs="Arial"/>
          <w:b/>
          <w:snapToGrid w:val="0"/>
          <w:lang w:bidi="en-US"/>
        </w:rPr>
        <w:t>Title:</w:t>
      </w:r>
      <w:r>
        <w:rPr>
          <w:rFonts w:ascii="Arial" w:hAnsi="Arial" w:cs="Arial"/>
          <w:snapToGrid w:val="0"/>
          <w:lang w:bidi="en-US"/>
        </w:rPr>
        <w:t xml:space="preserve"> </w:t>
      </w:r>
      <w:r w:rsidR="00DD0C29" w:rsidRPr="006924F2">
        <w:rPr>
          <w:rFonts w:ascii="Arial" w:hAnsi="Arial" w:cs="Arial"/>
          <w:snapToGrid w:val="0"/>
          <w:lang w:bidi="en-US"/>
        </w:rPr>
        <w:t xml:space="preserve">Infant nutrition, growth and IgE sensitization to food allergens at 6 years: </w:t>
      </w:r>
      <w:r w:rsidR="00DD0C29" w:rsidRPr="006924F2">
        <w:rPr>
          <w:rFonts w:ascii="Arial" w:hAnsi="Arial" w:cs="Arial"/>
          <w:snapToGrid w:val="0"/>
          <w:lang w:bidi="en-US"/>
        </w:rPr>
        <w:br/>
        <w:t>a longitudinal cohort</w:t>
      </w:r>
    </w:p>
    <w:p w:rsidR="00DD0C29" w:rsidRPr="006924F2" w:rsidRDefault="001F57D6" w:rsidP="006924F2">
      <w:pPr>
        <w:spacing w:after="0" w:line="276" w:lineRule="auto"/>
        <w:rPr>
          <w:rFonts w:ascii="Arial" w:hAnsi="Arial" w:cs="Arial"/>
          <w:vertAlign w:val="superscript"/>
        </w:rPr>
      </w:pPr>
      <w:r w:rsidRPr="001F57D6">
        <w:rPr>
          <w:rFonts w:ascii="Arial" w:hAnsi="Arial" w:cs="Arial"/>
          <w:b/>
          <w:bCs/>
        </w:rPr>
        <w:t>Authors:</w:t>
      </w:r>
      <w:r>
        <w:rPr>
          <w:rFonts w:ascii="Arial" w:hAnsi="Arial" w:cs="Arial"/>
          <w:bCs/>
        </w:rPr>
        <w:t xml:space="preserve"> </w:t>
      </w:r>
      <w:r w:rsidR="00DD0C29" w:rsidRPr="006924F2">
        <w:rPr>
          <w:rFonts w:ascii="Arial" w:hAnsi="Arial" w:cs="Arial"/>
          <w:bCs/>
        </w:rPr>
        <w:t>Birna Thorisdottir</w:t>
      </w:r>
      <w:r w:rsidR="00DD0C29" w:rsidRPr="006924F2">
        <w:rPr>
          <w:rFonts w:ascii="Arial" w:hAnsi="Arial" w:cs="Arial"/>
          <w:bCs/>
          <w:vertAlign w:val="superscript"/>
        </w:rPr>
        <w:t>1*</w:t>
      </w:r>
      <w:r w:rsidR="00DD0C29" w:rsidRPr="006924F2">
        <w:rPr>
          <w:rFonts w:ascii="Arial" w:hAnsi="Arial" w:cs="Arial"/>
        </w:rPr>
        <w:t>, Ingibjorg Gunnarsdottir</w:t>
      </w:r>
      <w:r w:rsidR="00DD0C29" w:rsidRPr="006924F2">
        <w:rPr>
          <w:rFonts w:ascii="Arial" w:hAnsi="Arial" w:cs="Arial"/>
          <w:vertAlign w:val="superscript"/>
        </w:rPr>
        <w:t>1</w:t>
      </w:r>
      <w:r w:rsidR="00DD0C29" w:rsidRPr="006924F2">
        <w:rPr>
          <w:rFonts w:ascii="Arial" w:hAnsi="Arial" w:cs="Arial"/>
        </w:rPr>
        <w:t>, Anna Gudrun Vidarsdottir</w:t>
      </w:r>
      <w:r w:rsidR="00DD0C29" w:rsidRPr="006924F2">
        <w:rPr>
          <w:rFonts w:ascii="Arial" w:hAnsi="Arial" w:cs="Arial"/>
          <w:vertAlign w:val="superscript"/>
        </w:rPr>
        <w:t>2</w:t>
      </w:r>
      <w:r w:rsidR="00DD0C29" w:rsidRPr="006924F2">
        <w:rPr>
          <w:rFonts w:ascii="Arial" w:hAnsi="Arial" w:cs="Arial"/>
        </w:rPr>
        <w:t>, Sigurveig Sigurdardottir</w:t>
      </w:r>
      <w:r w:rsidR="00DD0C29" w:rsidRPr="006924F2">
        <w:rPr>
          <w:rFonts w:ascii="Arial" w:hAnsi="Arial" w:cs="Arial"/>
          <w:vertAlign w:val="superscript"/>
        </w:rPr>
        <w:t>2,3,4</w:t>
      </w:r>
      <w:r w:rsidR="00DD0C29" w:rsidRPr="006924F2">
        <w:rPr>
          <w:rFonts w:ascii="Arial" w:hAnsi="Arial" w:cs="Arial"/>
        </w:rPr>
        <w:t>, Bryndis Eva Birgisdottir</w:t>
      </w:r>
      <w:r w:rsidR="00DD0C29" w:rsidRPr="006924F2">
        <w:rPr>
          <w:rFonts w:ascii="Arial" w:hAnsi="Arial" w:cs="Arial"/>
          <w:vertAlign w:val="superscript"/>
        </w:rPr>
        <w:t>1</w:t>
      </w:r>
      <w:r w:rsidR="00DD0C29" w:rsidRPr="006924F2">
        <w:rPr>
          <w:rFonts w:ascii="Arial" w:hAnsi="Arial" w:cs="Arial"/>
        </w:rPr>
        <w:t xml:space="preserve">, </w:t>
      </w:r>
      <w:r w:rsidR="00DD0C29" w:rsidRPr="001F57D6">
        <w:rPr>
          <w:rFonts w:ascii="Arial" w:hAnsi="Arial" w:cs="Arial"/>
          <w:b/>
        </w:rPr>
        <w:t>Inga Thorsdottir</w:t>
      </w:r>
      <w:r w:rsidR="00DD0C29" w:rsidRPr="006924F2">
        <w:rPr>
          <w:rFonts w:ascii="Arial" w:hAnsi="Arial" w:cs="Arial"/>
          <w:vertAlign w:val="superscript"/>
        </w:rPr>
        <w:t>5</w:t>
      </w:r>
    </w:p>
    <w:p w:rsidR="00DD0C29" w:rsidRPr="006924F2" w:rsidRDefault="001F57D6" w:rsidP="006924F2">
      <w:pPr>
        <w:spacing w:after="0" w:line="276" w:lineRule="auto"/>
        <w:jc w:val="both"/>
        <w:rPr>
          <w:rFonts w:ascii="Arial" w:eastAsia="Times New Roman" w:hAnsi="Arial" w:cs="Arial"/>
          <w:bCs/>
          <w:lang w:eastAsia="is-IS"/>
        </w:rPr>
      </w:pPr>
      <w:r w:rsidRPr="001F57D6">
        <w:rPr>
          <w:rFonts w:ascii="Arial" w:eastAsia="Times New Roman" w:hAnsi="Arial" w:cs="Arial"/>
          <w:b/>
          <w:bCs/>
          <w:lang w:eastAsia="is-IS"/>
        </w:rPr>
        <w:t>Affiliation:</w:t>
      </w:r>
      <w:r>
        <w:rPr>
          <w:rFonts w:ascii="Arial" w:eastAsia="Times New Roman" w:hAnsi="Arial" w:cs="Arial"/>
          <w:bCs/>
          <w:lang w:eastAsia="is-IS"/>
        </w:rPr>
        <w:t xml:space="preserve"> </w:t>
      </w:r>
      <w:r w:rsidR="00DD0C29" w:rsidRPr="006924F2">
        <w:rPr>
          <w:rFonts w:ascii="Arial" w:eastAsia="Times New Roman" w:hAnsi="Arial" w:cs="Arial"/>
          <w:bCs/>
          <w:vertAlign w:val="superscript"/>
          <w:lang w:eastAsia="is-IS"/>
        </w:rPr>
        <w:t>1</w:t>
      </w:r>
      <w:r w:rsidR="00DD0C29" w:rsidRPr="006924F2">
        <w:rPr>
          <w:rFonts w:ascii="Arial" w:eastAsia="Times New Roman" w:hAnsi="Arial" w:cs="Arial"/>
          <w:bCs/>
          <w:lang w:eastAsia="is-IS"/>
        </w:rPr>
        <w:t>Unit for Nutrition Research, Faculty of Food Science and Nutrition, University of Iceland &amp; Landspitali University Hospital</w:t>
      </w:r>
      <w:r w:rsidR="00DD0C29" w:rsidRPr="006924F2">
        <w:rPr>
          <w:rFonts w:ascii="Arial" w:eastAsia="Times New Roman" w:hAnsi="Arial" w:cs="Arial"/>
          <w:bCs/>
          <w:lang w:eastAsia="is-IS"/>
        </w:rPr>
        <w:t xml:space="preserve"> </w:t>
      </w:r>
      <w:r w:rsidR="00DD0C29" w:rsidRPr="006924F2">
        <w:rPr>
          <w:rFonts w:ascii="Arial" w:eastAsia="Times New Roman" w:hAnsi="Arial" w:cs="Arial"/>
          <w:bCs/>
          <w:vertAlign w:val="superscript"/>
          <w:lang w:eastAsia="is-IS"/>
        </w:rPr>
        <w:t>2</w:t>
      </w:r>
      <w:r w:rsidR="00DD0C29" w:rsidRPr="006924F2">
        <w:rPr>
          <w:rFonts w:ascii="Arial" w:eastAsia="Times New Roman" w:hAnsi="Arial" w:cs="Arial"/>
          <w:bCs/>
          <w:lang w:eastAsia="is-IS"/>
        </w:rPr>
        <w:t>Department of Immunology</w:t>
      </w:r>
      <w:r w:rsidR="00DD0C29" w:rsidRPr="006924F2">
        <w:rPr>
          <w:rFonts w:ascii="Arial" w:eastAsia="Times New Roman" w:hAnsi="Arial" w:cs="Arial"/>
          <w:bCs/>
          <w:lang w:eastAsia="is-IS"/>
        </w:rPr>
        <w:t xml:space="preserve"> and </w:t>
      </w:r>
      <w:r w:rsidR="00DD0C29" w:rsidRPr="006924F2">
        <w:rPr>
          <w:rFonts w:ascii="Arial" w:eastAsia="Times New Roman" w:hAnsi="Arial" w:cs="Arial"/>
          <w:bCs/>
          <w:vertAlign w:val="superscript"/>
          <w:lang w:eastAsia="is-IS"/>
        </w:rPr>
        <w:t>4</w:t>
      </w:r>
      <w:r w:rsidR="00DD0C29" w:rsidRPr="006924F2">
        <w:rPr>
          <w:rFonts w:ascii="Arial" w:eastAsia="Times New Roman" w:hAnsi="Arial" w:cs="Arial"/>
          <w:bCs/>
          <w:lang w:eastAsia="is-IS"/>
        </w:rPr>
        <w:t xml:space="preserve">Allergy Outpatient Department, Landspitali University Hospital, </w:t>
      </w:r>
      <w:r w:rsidR="00DD0C29" w:rsidRPr="006924F2">
        <w:rPr>
          <w:rFonts w:ascii="Arial" w:eastAsia="Times New Roman" w:hAnsi="Arial" w:cs="Arial"/>
          <w:bCs/>
          <w:vertAlign w:val="superscript"/>
          <w:lang w:eastAsia="is-IS"/>
        </w:rPr>
        <w:t>3</w:t>
      </w:r>
      <w:r w:rsidR="00DD0C29" w:rsidRPr="006924F2">
        <w:rPr>
          <w:rFonts w:ascii="Arial" w:eastAsia="Times New Roman" w:hAnsi="Arial" w:cs="Arial"/>
          <w:bCs/>
          <w:lang w:eastAsia="is-IS"/>
        </w:rPr>
        <w:t>Faculty of Medicine, University of Iceland</w:t>
      </w:r>
      <w:r w:rsidR="00DD0C29" w:rsidRPr="006924F2">
        <w:rPr>
          <w:rFonts w:ascii="Arial" w:eastAsia="Times New Roman" w:hAnsi="Arial" w:cs="Arial"/>
          <w:bCs/>
          <w:lang w:eastAsia="is-IS"/>
        </w:rPr>
        <w:t xml:space="preserve"> and </w:t>
      </w:r>
    </w:p>
    <w:p w:rsidR="00DD0C29" w:rsidRPr="006924F2" w:rsidRDefault="00DD0C29" w:rsidP="006924F2">
      <w:pPr>
        <w:spacing w:after="0" w:line="276" w:lineRule="auto"/>
        <w:jc w:val="both"/>
        <w:rPr>
          <w:rFonts w:ascii="Arial" w:eastAsia="Times New Roman" w:hAnsi="Arial" w:cs="Arial"/>
          <w:bCs/>
          <w:lang w:eastAsia="is-IS"/>
        </w:rPr>
      </w:pPr>
      <w:r w:rsidRPr="006924F2">
        <w:rPr>
          <w:rFonts w:ascii="Arial" w:eastAsia="Times New Roman" w:hAnsi="Arial" w:cs="Arial"/>
          <w:bCs/>
          <w:vertAlign w:val="superscript"/>
          <w:lang w:eastAsia="is-IS"/>
        </w:rPr>
        <w:t>5</w:t>
      </w:r>
      <w:r w:rsidRPr="006924F2">
        <w:rPr>
          <w:rFonts w:ascii="Arial" w:eastAsia="Times New Roman" w:hAnsi="Arial" w:cs="Arial"/>
          <w:bCs/>
          <w:lang w:eastAsia="is-IS"/>
        </w:rPr>
        <w:t>School of Health Sciences, University of Iceland, Reykjavik, Iceland</w:t>
      </w:r>
    </w:p>
    <w:p w:rsidR="00DD0C29" w:rsidRPr="001F04A7" w:rsidRDefault="00DD0C29" w:rsidP="00DD0C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1DCA" w:rsidRPr="00691DCA" w:rsidRDefault="00691DCA" w:rsidP="00691DCA">
      <w:pPr>
        <w:spacing w:after="0" w:line="276" w:lineRule="auto"/>
        <w:jc w:val="both"/>
        <w:rPr>
          <w:rFonts w:ascii="Arial" w:hAnsi="Arial" w:cs="Arial"/>
          <w:b/>
          <w:lang w:val="en-US"/>
        </w:rPr>
      </w:pPr>
      <w:r w:rsidRPr="00691DCA">
        <w:rPr>
          <w:rFonts w:ascii="Arial" w:hAnsi="Arial" w:cs="Arial"/>
          <w:b/>
          <w:lang w:val="en-US"/>
        </w:rPr>
        <w:t xml:space="preserve">Background: </w:t>
      </w:r>
      <w:r w:rsidRPr="00691DCA">
        <w:rPr>
          <w:rFonts w:ascii="Arial" w:hAnsi="Arial" w:cs="Arial"/>
          <w:lang w:val="en-US"/>
        </w:rPr>
        <w:t xml:space="preserve">There is conflicting evidence regarding the optimal age of introduction of solid food as well as vitamin D supplement use as primary prevention to reduce atopy and allergy. </w:t>
      </w:r>
    </w:p>
    <w:p w:rsidR="00691DCA" w:rsidRPr="00691DCA" w:rsidRDefault="00691DCA" w:rsidP="00691DCA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691DCA">
        <w:rPr>
          <w:rFonts w:ascii="Arial" w:hAnsi="Arial" w:cs="Arial"/>
          <w:b/>
          <w:lang w:val="en-US"/>
        </w:rPr>
        <w:t>Objectives:</w:t>
      </w:r>
      <w:r w:rsidRPr="00691DCA">
        <w:rPr>
          <w:rFonts w:ascii="Arial" w:hAnsi="Arial" w:cs="Arial"/>
          <w:lang w:val="en-US"/>
        </w:rPr>
        <w:t xml:space="preserve"> To compare nutrition, including age at solid food introduction and vitamin D as well as growth from infancy to 6 years between IgE sensitized and non-sensitized children.</w:t>
      </w:r>
    </w:p>
    <w:p w:rsidR="00691DCA" w:rsidRPr="00691DCA" w:rsidRDefault="00691DCA" w:rsidP="00691DCA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691DCA">
        <w:rPr>
          <w:rFonts w:ascii="Arial" w:hAnsi="Arial" w:cs="Arial"/>
          <w:b/>
          <w:lang w:val="en-US"/>
        </w:rPr>
        <w:t>Methods:</w:t>
      </w:r>
      <w:r w:rsidRPr="00691DCA">
        <w:rPr>
          <w:rFonts w:ascii="Arial" w:hAnsi="Arial" w:cs="Arial"/>
          <w:lang w:val="en-US"/>
        </w:rPr>
        <w:t xml:space="preserve"> In this prospective Icelandic cohort, serum specific IgE-antibodies against food were analyzed at 6 years (cut-off specific IgE≥0.35 kUA/L). Dietary information ≤ 4 months was assessed with a dietary recall, at 5 and 6 months with 1-day food records, and at 12 months and 6 years with 3-day weighed-food records. Weight, length/height and head circumference was measured in infancy and at 6 years. Background variables were gathered from parental questionnaires.</w:t>
      </w:r>
    </w:p>
    <w:p w:rsidR="00691DCA" w:rsidRPr="00691DCA" w:rsidRDefault="00691DCA" w:rsidP="00691DCA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691DCA">
        <w:rPr>
          <w:rFonts w:ascii="Arial" w:hAnsi="Arial" w:cs="Arial"/>
          <w:b/>
          <w:lang w:val="en-US"/>
        </w:rPr>
        <w:t>Results:</w:t>
      </w:r>
      <w:r w:rsidRPr="00691DCA">
        <w:rPr>
          <w:rFonts w:ascii="Arial" w:hAnsi="Arial" w:cs="Arial"/>
          <w:lang w:val="en-US"/>
        </w:rPr>
        <w:t xml:space="preserve"> Out of 144 6-year-old children, 14 (10%) were IgE sensitized. At 4 months (17 weeks), 57% IgE sensitized vs. 23% non-sensitized children (p=0.006) had received solid food. From birth to 2 months, IgE sensitized compared to non-sensitized children had greater increase in weight (mean±SD; 2.2±0.4 kg vs. 1.8±0.7 kg, p=0.039) and head circumference (4.9±1.2 cm vs. 4.2±0.7 cm, p=0.017) and at 6 years, IgE sensitized children were more likely overweight or obese (29% vs. 10%, p=0.041). At 12 months, IgE sensitized children had a lower intake of vitamin D (median (25th,75th percentiles); 3.9 μg/d (3.2,7.2) vs. 8.1 μg/d (4.4,12.3), p=0.034) and at 6 years, they were less likely to use vitamin D supplements (23% vs. 56%, p=0.026). </w:t>
      </w:r>
    </w:p>
    <w:p w:rsidR="00691DCA" w:rsidRPr="00691DCA" w:rsidRDefault="00691DCA" w:rsidP="00691DCA">
      <w:pPr>
        <w:spacing w:after="0" w:line="276" w:lineRule="auto"/>
        <w:rPr>
          <w:rFonts w:ascii="Arial" w:hAnsi="Arial" w:cs="Arial"/>
          <w:lang w:eastAsia="is-IS"/>
        </w:rPr>
      </w:pPr>
      <w:r w:rsidRPr="00691DCA">
        <w:rPr>
          <w:rFonts w:ascii="Arial" w:hAnsi="Arial" w:cs="Arial"/>
          <w:b/>
          <w:lang w:val="en-US"/>
        </w:rPr>
        <w:t>Conclusions:</w:t>
      </w:r>
      <w:r w:rsidRPr="00691DCA">
        <w:rPr>
          <w:rFonts w:ascii="Arial" w:hAnsi="Arial" w:cs="Arial"/>
          <w:lang w:val="en-US"/>
        </w:rPr>
        <w:t xml:space="preserve"> Solid food introduction prior to 4 months, a different growth pattern and less vitamin D intake was associated with increased IgE sensitization. This supports delaying solid food introduction to 4 months and encouraging vitamin D intake from diet or supplements in this population of northern latitude. </w:t>
      </w:r>
    </w:p>
    <w:p w:rsidR="00D179A4" w:rsidRDefault="00D179A4"/>
    <w:sectPr w:rsidR="00D17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CA"/>
    <w:rsid w:val="001F57D6"/>
    <w:rsid w:val="00691DCA"/>
    <w:rsid w:val="006924F2"/>
    <w:rsid w:val="00D179A4"/>
    <w:rsid w:val="00DD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9A49"/>
  <w15:chartTrackingRefBased/>
  <w15:docId w15:val="{F6ED09B5-3C62-49E5-A270-DF31D2F2B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DC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691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DC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91DC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4</cp:revision>
  <dcterms:created xsi:type="dcterms:W3CDTF">2018-02-20T19:21:00Z</dcterms:created>
  <dcterms:modified xsi:type="dcterms:W3CDTF">2018-02-20T19:36:00Z</dcterms:modified>
</cp:coreProperties>
</file>