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F42" w:rsidRDefault="00E24F42" w:rsidP="00494130">
      <w:pPr>
        <w:pStyle w:val="Heading1"/>
        <w:spacing w:before="170"/>
        <w:ind w:left="0"/>
        <w:rPr>
          <w:color w:val="337AB7"/>
        </w:rPr>
      </w:pPr>
      <w:r w:rsidRPr="00E24F42">
        <w:rPr>
          <w:color w:val="337AB7"/>
        </w:rPr>
        <w:t>Effects of nutritional preconditioning on nutritional status of patients undergoing major surgeries and subsequent operative outcomes</w:t>
      </w:r>
    </w:p>
    <w:p w:rsidR="00E24F42" w:rsidRDefault="00E24F42" w:rsidP="00E24F42">
      <w:pPr>
        <w:pStyle w:val="BodyText"/>
        <w:rPr>
          <w:rFonts w:ascii="Times New Roman" w:hAnsi="Times New Roman" w:cs="Times New Roman"/>
          <w:sz w:val="16"/>
          <w:szCs w:val="24"/>
        </w:rPr>
      </w:pPr>
      <w:r w:rsidRPr="00E24F42">
        <w:rPr>
          <w:rFonts w:ascii="Arial"/>
          <w:sz w:val="14"/>
        </w:rPr>
        <w:t>Shabnam Pooya</w:t>
      </w:r>
      <w:r w:rsidRPr="00E24F42">
        <w:rPr>
          <w:rFonts w:ascii="Arial"/>
          <w:sz w:val="14"/>
          <w:vertAlign w:val="superscript"/>
        </w:rPr>
        <w:t>1</w:t>
      </w:r>
      <w:r>
        <w:rPr>
          <w:rFonts w:ascii="Arial"/>
          <w:sz w:val="14"/>
        </w:rPr>
        <w:t>PhD,</w:t>
      </w:r>
      <w:r w:rsidRPr="00E24F42">
        <w:rPr>
          <w:rFonts w:ascii="Arial"/>
          <w:sz w:val="14"/>
        </w:rPr>
        <w:t xml:space="preserve"> Lisa Herzig</w:t>
      </w:r>
      <w:r w:rsidRPr="00E24F42">
        <w:rPr>
          <w:rFonts w:ascii="Arial"/>
          <w:sz w:val="14"/>
          <w:vertAlign w:val="superscript"/>
        </w:rPr>
        <w:t>1</w:t>
      </w:r>
      <w:r>
        <w:rPr>
          <w:rFonts w:ascii="Arial"/>
          <w:sz w:val="14"/>
        </w:rPr>
        <w:t>PhD, RD,</w:t>
      </w:r>
      <w:r w:rsidRPr="00E24F42">
        <w:rPr>
          <w:rFonts w:ascii="Arial"/>
          <w:sz w:val="14"/>
        </w:rPr>
        <w:t xml:space="preserve"> Amir Fathi</w:t>
      </w:r>
      <w:r w:rsidRPr="00E24F42">
        <w:rPr>
          <w:rFonts w:ascii="Arial"/>
          <w:sz w:val="14"/>
          <w:vertAlign w:val="superscript"/>
        </w:rPr>
        <w:t>2</w:t>
      </w:r>
      <w:r>
        <w:rPr>
          <w:rFonts w:ascii="Arial"/>
          <w:sz w:val="14"/>
          <w:vertAlign w:val="superscript"/>
        </w:rPr>
        <w:t xml:space="preserve"> </w:t>
      </w:r>
      <w:r>
        <w:rPr>
          <w:rFonts w:ascii="Times New Roman" w:hAnsi="Times New Roman" w:cs="Times New Roman"/>
          <w:sz w:val="16"/>
          <w:szCs w:val="24"/>
        </w:rPr>
        <w:t>MD</w:t>
      </w:r>
    </w:p>
    <w:p w:rsidR="00E24F42" w:rsidRPr="00E24F42" w:rsidRDefault="00E24F42" w:rsidP="00E24F42">
      <w:pPr>
        <w:pStyle w:val="BodyText"/>
        <w:rPr>
          <w:rFonts w:ascii="Arial" w:hAnsi="Arial" w:cs="Arial"/>
          <w:sz w:val="12"/>
        </w:rPr>
      </w:pPr>
      <w:r w:rsidRPr="00E24F42">
        <w:rPr>
          <w:rFonts w:ascii="Arial" w:hAnsi="Arial" w:cs="Arial"/>
          <w:sz w:val="14"/>
          <w:szCs w:val="24"/>
        </w:rPr>
        <w:t>1. Department of Food Science and Nutrition, California State University, Fresno, Ca</w:t>
      </w:r>
    </w:p>
    <w:p w:rsidR="00E24F42" w:rsidRPr="00E24F42" w:rsidRDefault="00E24F42" w:rsidP="00E24F42">
      <w:pPr>
        <w:autoSpaceDE w:val="0"/>
        <w:autoSpaceDN w:val="0"/>
        <w:adjustRightInd w:val="0"/>
        <w:rPr>
          <w:rFonts w:ascii="Arial" w:hAnsi="Arial" w:cs="Arial"/>
          <w:sz w:val="14"/>
          <w:szCs w:val="24"/>
        </w:rPr>
      </w:pPr>
      <w:r w:rsidRPr="00E24F42">
        <w:rPr>
          <w:rFonts w:ascii="Arial" w:hAnsi="Arial" w:cs="Arial"/>
          <w:sz w:val="14"/>
          <w:szCs w:val="24"/>
        </w:rPr>
        <w:t>2. UCSF Fresno Department of Surgery, Fresno, Ca</w:t>
      </w:r>
    </w:p>
    <w:p w:rsidR="00E24F42" w:rsidRDefault="00E24F42">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F4690" w:rsidRPr="007F4690" w:rsidRDefault="007F4690" w:rsidP="007F4690">
      <w:pPr>
        <w:pStyle w:val="Heading3"/>
        <w:spacing w:before="74"/>
        <w:rPr>
          <w:rFonts w:ascii="Tw Cen MT" w:eastAsia="Tw Cen MT" w:hAnsi="Tw Cen MT" w:cs="Tw Cen MT"/>
          <w:b w:val="0"/>
          <w:bCs w:val="0"/>
          <w:sz w:val="18"/>
          <w:szCs w:val="18"/>
        </w:rPr>
      </w:pPr>
      <w:r w:rsidRPr="007F4690">
        <w:rPr>
          <w:rFonts w:ascii="Tw Cen MT" w:eastAsia="Tw Cen MT" w:hAnsi="Tw Cen MT" w:cs="Tw Cen MT"/>
          <w:b w:val="0"/>
          <w:bCs w:val="0"/>
          <w:sz w:val="18"/>
          <w:szCs w:val="18"/>
        </w:rPr>
        <w:t xml:space="preserve">Malnutrition is a serious problem in patients undergoing major surgeries and has direct association with increased morbidity, mortality, length of stay (LOS), increased readmissions and cost of care. Studies suggest several advantage of supplementation with protein or specific amino acids in malnourished patients. Dietary leucine or its metabolite </w:t>
      </w:r>
      <w:r w:rsidRPr="007F4690">
        <w:rPr>
          <w:rFonts w:ascii="Calibri" w:eastAsia="Tw Cen MT" w:hAnsi="Calibri" w:cs="Calibri"/>
          <w:b w:val="0"/>
          <w:bCs w:val="0"/>
          <w:sz w:val="18"/>
          <w:szCs w:val="18"/>
        </w:rPr>
        <w:t>β</w:t>
      </w:r>
      <w:r w:rsidRPr="007F4690">
        <w:rPr>
          <w:rFonts w:ascii="Tw Cen MT" w:eastAsia="Tw Cen MT" w:hAnsi="Tw Cen MT" w:cs="Tw Cen MT"/>
          <w:b w:val="0"/>
          <w:bCs w:val="0"/>
          <w:sz w:val="18"/>
          <w:szCs w:val="18"/>
        </w:rPr>
        <w:t>-</w:t>
      </w:r>
      <w:proofErr w:type="spellStart"/>
      <w:r w:rsidRPr="007F4690">
        <w:rPr>
          <w:rFonts w:ascii="Tw Cen MT" w:eastAsia="Tw Cen MT" w:hAnsi="Tw Cen MT" w:cs="Tw Cen MT"/>
          <w:b w:val="0"/>
          <w:bCs w:val="0"/>
          <w:sz w:val="18"/>
          <w:szCs w:val="18"/>
        </w:rPr>
        <w:t>hydroxy</w:t>
      </w:r>
      <w:proofErr w:type="spellEnd"/>
      <w:r w:rsidRPr="007F4690">
        <w:rPr>
          <w:rFonts w:ascii="Tw Cen MT" w:eastAsia="Tw Cen MT" w:hAnsi="Tw Cen MT" w:cs="Tw Cen MT"/>
          <w:b w:val="0"/>
          <w:bCs w:val="0"/>
          <w:sz w:val="18"/>
          <w:szCs w:val="18"/>
        </w:rPr>
        <w:t xml:space="preserve"> </w:t>
      </w:r>
      <w:r w:rsidRPr="007F4690">
        <w:rPr>
          <w:rFonts w:ascii="Calibri" w:eastAsia="Tw Cen MT" w:hAnsi="Calibri" w:cs="Calibri"/>
          <w:b w:val="0"/>
          <w:bCs w:val="0"/>
          <w:sz w:val="18"/>
          <w:szCs w:val="18"/>
        </w:rPr>
        <w:t>β</w:t>
      </w:r>
      <w:r w:rsidRPr="007F4690">
        <w:rPr>
          <w:rFonts w:ascii="Tw Cen MT" w:eastAsia="Tw Cen MT" w:hAnsi="Tw Cen MT" w:cs="Tw Cen MT"/>
          <w:b w:val="0"/>
          <w:bCs w:val="0"/>
          <w:sz w:val="18"/>
          <w:szCs w:val="18"/>
        </w:rPr>
        <w:t>-</w:t>
      </w:r>
      <w:proofErr w:type="spellStart"/>
      <w:r w:rsidRPr="007F4690">
        <w:rPr>
          <w:rFonts w:ascii="Tw Cen MT" w:eastAsia="Tw Cen MT" w:hAnsi="Tw Cen MT" w:cs="Tw Cen MT"/>
          <w:b w:val="0"/>
          <w:bCs w:val="0"/>
          <w:sz w:val="18"/>
          <w:szCs w:val="18"/>
        </w:rPr>
        <w:t>methylbutyrate</w:t>
      </w:r>
      <w:proofErr w:type="spellEnd"/>
      <w:r w:rsidRPr="007F4690">
        <w:rPr>
          <w:rFonts w:ascii="Tw Cen MT" w:eastAsia="Tw Cen MT" w:hAnsi="Tw Cen MT" w:cs="Tw Cen MT"/>
          <w:b w:val="0"/>
          <w:bCs w:val="0"/>
          <w:sz w:val="18"/>
          <w:szCs w:val="18"/>
        </w:rPr>
        <w:t xml:space="preserve"> (HMB) can improve skeletal muscle mass and function by increasing transcriptional level of protein synthase, while other high protein or amino acids like Glutamine or Arginine supplements only provide protein-amino acids pool for patients while body`s preferred fuel during metabolic stress is endogens protein, rather than exogenous diet.</w:t>
      </w:r>
    </w:p>
    <w:p w:rsidR="007F4690" w:rsidRPr="007F4690" w:rsidRDefault="007F4690" w:rsidP="007F4690">
      <w:pPr>
        <w:pStyle w:val="Heading3"/>
        <w:spacing w:before="74"/>
        <w:rPr>
          <w:rFonts w:ascii="Tw Cen MT" w:eastAsia="Tw Cen MT" w:hAnsi="Tw Cen MT" w:cs="Tw Cen MT"/>
          <w:b w:val="0"/>
          <w:bCs w:val="0"/>
          <w:sz w:val="18"/>
          <w:szCs w:val="18"/>
        </w:rPr>
      </w:pPr>
      <w:r w:rsidRPr="007F4690">
        <w:rPr>
          <w:rFonts w:ascii="Tw Cen MT" w:eastAsia="Tw Cen MT" w:hAnsi="Tw Cen MT" w:cs="Tw Cen MT"/>
          <w:b w:val="0"/>
          <w:bCs w:val="0"/>
          <w:sz w:val="18"/>
          <w:szCs w:val="18"/>
        </w:rPr>
        <w:t xml:space="preserve">In this study we </w:t>
      </w:r>
      <w:proofErr w:type="spellStart"/>
      <w:r w:rsidRPr="007F4690">
        <w:rPr>
          <w:rFonts w:ascii="Tw Cen MT" w:eastAsia="Tw Cen MT" w:hAnsi="Tw Cen MT" w:cs="Tw Cen MT"/>
          <w:b w:val="0"/>
          <w:bCs w:val="0"/>
          <w:sz w:val="18"/>
          <w:szCs w:val="18"/>
        </w:rPr>
        <w:t>seek</w:t>
      </w:r>
      <w:r w:rsidR="00F70E6A">
        <w:rPr>
          <w:rFonts w:ascii="Tw Cen MT" w:eastAsia="Tw Cen MT" w:hAnsi="Tw Cen MT" w:cs="Tw Cen MT"/>
          <w:b w:val="0"/>
          <w:bCs w:val="0"/>
          <w:sz w:val="18"/>
          <w:szCs w:val="18"/>
        </w:rPr>
        <w:t>ed</w:t>
      </w:r>
      <w:proofErr w:type="spellEnd"/>
      <w:r w:rsidRPr="007F4690">
        <w:rPr>
          <w:rFonts w:ascii="Tw Cen MT" w:eastAsia="Tw Cen MT" w:hAnsi="Tw Cen MT" w:cs="Tw Cen MT"/>
          <w:b w:val="0"/>
          <w:bCs w:val="0"/>
          <w:sz w:val="18"/>
          <w:szCs w:val="18"/>
        </w:rPr>
        <w:t xml:space="preserve"> to achieve two distinct goals: </w:t>
      </w:r>
    </w:p>
    <w:p w:rsidR="007F4690" w:rsidRPr="007F4690" w:rsidRDefault="007F4690" w:rsidP="007F4690">
      <w:pPr>
        <w:pStyle w:val="Heading3"/>
        <w:spacing w:before="74"/>
        <w:rPr>
          <w:rFonts w:ascii="Tw Cen MT" w:eastAsia="Tw Cen MT" w:hAnsi="Tw Cen MT" w:cs="Tw Cen MT"/>
          <w:b w:val="0"/>
          <w:bCs w:val="0"/>
          <w:sz w:val="18"/>
          <w:szCs w:val="18"/>
        </w:rPr>
      </w:pPr>
      <w:r w:rsidRPr="007F4690">
        <w:rPr>
          <w:rFonts w:ascii="Tw Cen MT" w:eastAsia="Tw Cen MT" w:hAnsi="Tw Cen MT" w:cs="Tw Cen MT"/>
          <w:b w:val="0"/>
          <w:bCs w:val="0"/>
          <w:sz w:val="18"/>
          <w:szCs w:val="18"/>
        </w:rPr>
        <w:t xml:space="preserve">1) Determine the patients’ nutritional status before and after major surgeries by baseline and subsequent nutritional assessments, according to ASPEN’s criteria. In addition, we </w:t>
      </w:r>
      <w:r w:rsidR="00F70E6A">
        <w:rPr>
          <w:rFonts w:ascii="Tw Cen MT" w:eastAsia="Tw Cen MT" w:hAnsi="Tw Cen MT" w:cs="Tw Cen MT"/>
          <w:b w:val="0"/>
          <w:bCs w:val="0"/>
          <w:sz w:val="18"/>
          <w:szCs w:val="18"/>
        </w:rPr>
        <w:t>were</w:t>
      </w:r>
      <w:r w:rsidRPr="007F4690">
        <w:rPr>
          <w:rFonts w:ascii="Tw Cen MT" w:eastAsia="Tw Cen MT" w:hAnsi="Tw Cen MT" w:cs="Tw Cen MT"/>
          <w:b w:val="0"/>
          <w:bCs w:val="0"/>
          <w:sz w:val="18"/>
          <w:szCs w:val="18"/>
        </w:rPr>
        <w:t xml:space="preserve"> going to use indirect calorimetry to determine the Resting Energy Expenditure (REE) in different phases of pre- and postoperative periods. We also propose to compare different serum protein markers and their ratios in order to correlate them with ASPEN’s criteria for nutritional status quantification. In Summary, three discrete tools including: ASPEN’s criteria, indirect calorimetry and serum biomarkers are going to </w:t>
      </w:r>
      <w:proofErr w:type="gramStart"/>
      <w:r w:rsidRPr="007F4690">
        <w:rPr>
          <w:rFonts w:ascii="Tw Cen MT" w:eastAsia="Tw Cen MT" w:hAnsi="Tw Cen MT" w:cs="Tw Cen MT"/>
          <w:b w:val="0"/>
          <w:bCs w:val="0"/>
          <w:sz w:val="18"/>
          <w:szCs w:val="18"/>
        </w:rPr>
        <w:t>be used</w:t>
      </w:r>
      <w:proofErr w:type="gramEnd"/>
      <w:r w:rsidRPr="007F4690">
        <w:rPr>
          <w:rFonts w:ascii="Tw Cen MT" w:eastAsia="Tw Cen MT" w:hAnsi="Tw Cen MT" w:cs="Tw Cen MT"/>
          <w:b w:val="0"/>
          <w:bCs w:val="0"/>
          <w:sz w:val="18"/>
          <w:szCs w:val="18"/>
        </w:rPr>
        <w:t xml:space="preserve"> in conjunction with each other to delineate the patients’ nutritional status in various pre- and post-operative periods. </w:t>
      </w:r>
    </w:p>
    <w:p w:rsidR="007F4690" w:rsidRPr="007F4690" w:rsidRDefault="007F4690" w:rsidP="007F4690">
      <w:pPr>
        <w:pStyle w:val="Heading3"/>
        <w:spacing w:before="74"/>
        <w:rPr>
          <w:rFonts w:ascii="Tw Cen MT" w:eastAsia="Tw Cen MT" w:hAnsi="Tw Cen MT" w:cs="Tw Cen MT"/>
          <w:b w:val="0"/>
          <w:bCs w:val="0"/>
          <w:sz w:val="18"/>
          <w:szCs w:val="18"/>
        </w:rPr>
      </w:pPr>
      <w:r w:rsidRPr="007F4690">
        <w:rPr>
          <w:rFonts w:ascii="Tw Cen MT" w:eastAsia="Tw Cen MT" w:hAnsi="Tw Cen MT" w:cs="Tw Cen MT"/>
          <w:b w:val="0"/>
          <w:bCs w:val="0"/>
          <w:sz w:val="18"/>
          <w:szCs w:val="18"/>
        </w:rPr>
        <w:t xml:space="preserve">2) Patients undergoing major surgeries </w:t>
      </w:r>
      <w:proofErr w:type="gramStart"/>
      <w:r w:rsidR="00F70E6A">
        <w:rPr>
          <w:rFonts w:ascii="Tw Cen MT" w:eastAsia="Tw Cen MT" w:hAnsi="Tw Cen MT" w:cs="Tw Cen MT"/>
          <w:b w:val="0"/>
          <w:bCs w:val="0"/>
          <w:sz w:val="18"/>
          <w:szCs w:val="18"/>
        </w:rPr>
        <w:t xml:space="preserve">were </w:t>
      </w:r>
      <w:r w:rsidRPr="007F4690">
        <w:rPr>
          <w:rFonts w:ascii="Tw Cen MT" w:eastAsia="Tw Cen MT" w:hAnsi="Tw Cen MT" w:cs="Tw Cen MT"/>
          <w:b w:val="0"/>
          <w:bCs w:val="0"/>
          <w:sz w:val="18"/>
          <w:szCs w:val="18"/>
        </w:rPr>
        <w:t>supplemented</w:t>
      </w:r>
      <w:proofErr w:type="gramEnd"/>
      <w:r w:rsidRPr="007F4690">
        <w:rPr>
          <w:rFonts w:ascii="Tw Cen MT" w:eastAsia="Tw Cen MT" w:hAnsi="Tw Cen MT" w:cs="Tw Cen MT"/>
          <w:b w:val="0"/>
          <w:bCs w:val="0"/>
          <w:sz w:val="18"/>
          <w:szCs w:val="18"/>
        </w:rPr>
        <w:t xml:space="preserve"> with high protein with ß-</w:t>
      </w:r>
      <w:proofErr w:type="spellStart"/>
      <w:r w:rsidRPr="007F4690">
        <w:rPr>
          <w:rFonts w:ascii="Tw Cen MT" w:eastAsia="Tw Cen MT" w:hAnsi="Tw Cen MT" w:cs="Tw Cen MT"/>
          <w:b w:val="0"/>
          <w:bCs w:val="0"/>
          <w:sz w:val="18"/>
          <w:szCs w:val="18"/>
        </w:rPr>
        <w:t>hydroxy</w:t>
      </w:r>
      <w:proofErr w:type="spellEnd"/>
      <w:r w:rsidRPr="007F4690">
        <w:rPr>
          <w:rFonts w:ascii="Tw Cen MT" w:eastAsia="Tw Cen MT" w:hAnsi="Tw Cen MT" w:cs="Tw Cen MT"/>
          <w:b w:val="0"/>
          <w:bCs w:val="0"/>
          <w:sz w:val="18"/>
          <w:szCs w:val="18"/>
        </w:rPr>
        <w:t xml:space="preserve"> ß-</w:t>
      </w:r>
      <w:proofErr w:type="spellStart"/>
      <w:r w:rsidRPr="007F4690">
        <w:rPr>
          <w:rFonts w:ascii="Tw Cen MT" w:eastAsia="Tw Cen MT" w:hAnsi="Tw Cen MT" w:cs="Tw Cen MT"/>
          <w:b w:val="0"/>
          <w:bCs w:val="0"/>
          <w:sz w:val="18"/>
          <w:szCs w:val="18"/>
        </w:rPr>
        <w:t>methylbuty</w:t>
      </w:r>
      <w:r w:rsidR="00F70E6A">
        <w:rPr>
          <w:rFonts w:ascii="Tw Cen MT" w:eastAsia="Tw Cen MT" w:hAnsi="Tw Cen MT" w:cs="Tw Cen MT"/>
          <w:b w:val="0"/>
          <w:bCs w:val="0"/>
          <w:sz w:val="18"/>
          <w:szCs w:val="18"/>
        </w:rPr>
        <w:t>rate</w:t>
      </w:r>
      <w:proofErr w:type="spellEnd"/>
      <w:r w:rsidR="00F70E6A">
        <w:rPr>
          <w:rFonts w:ascii="Tw Cen MT" w:eastAsia="Tw Cen MT" w:hAnsi="Tw Cen MT" w:cs="Tw Cen MT"/>
          <w:b w:val="0"/>
          <w:bCs w:val="0"/>
          <w:sz w:val="18"/>
          <w:szCs w:val="18"/>
        </w:rPr>
        <w:t xml:space="preserve"> (HMB) (Ensure, </w:t>
      </w:r>
      <w:proofErr w:type="spellStart"/>
      <w:r w:rsidR="00F70E6A">
        <w:rPr>
          <w:rFonts w:ascii="Tw Cen MT" w:eastAsia="Tw Cen MT" w:hAnsi="Tw Cen MT" w:cs="Tw Cen MT"/>
          <w:b w:val="0"/>
          <w:bCs w:val="0"/>
          <w:sz w:val="18"/>
          <w:szCs w:val="18"/>
        </w:rPr>
        <w:t>Envile</w:t>
      </w:r>
      <w:proofErr w:type="spellEnd"/>
      <w:r w:rsidR="00F70E6A">
        <w:rPr>
          <w:rFonts w:ascii="Tw Cen MT" w:eastAsia="Tw Cen MT" w:hAnsi="Tw Cen MT" w:cs="Tw Cen MT"/>
          <w:b w:val="0"/>
          <w:bCs w:val="0"/>
          <w:sz w:val="18"/>
          <w:szCs w:val="18"/>
        </w:rPr>
        <w:t>) or HMB only</w:t>
      </w:r>
      <w:r w:rsidRPr="007F4690">
        <w:rPr>
          <w:rFonts w:ascii="Tw Cen MT" w:eastAsia="Tw Cen MT" w:hAnsi="Tw Cen MT" w:cs="Tw Cen MT"/>
          <w:b w:val="0"/>
          <w:bCs w:val="0"/>
          <w:sz w:val="18"/>
          <w:szCs w:val="18"/>
        </w:rPr>
        <w:t xml:space="preserve"> as a control, in order to improve their nutritional status and improve post-operative outcomes. We </w:t>
      </w:r>
      <w:r w:rsidR="00F70E6A">
        <w:rPr>
          <w:rFonts w:ascii="Tw Cen MT" w:eastAsia="Tw Cen MT" w:hAnsi="Tw Cen MT" w:cs="Tw Cen MT"/>
          <w:b w:val="0"/>
          <w:bCs w:val="0"/>
          <w:sz w:val="18"/>
          <w:szCs w:val="18"/>
        </w:rPr>
        <w:t>looked for</w:t>
      </w:r>
      <w:r w:rsidRPr="007F4690">
        <w:rPr>
          <w:rFonts w:ascii="Tw Cen MT" w:eastAsia="Tw Cen MT" w:hAnsi="Tw Cen MT" w:cs="Tw Cen MT"/>
          <w:b w:val="0"/>
          <w:bCs w:val="0"/>
          <w:sz w:val="18"/>
          <w:szCs w:val="18"/>
        </w:rPr>
        <w:t xml:space="preserve"> depict meaningful improvements in surgical outcomes by nutritional supplementation with or without HMB.</w:t>
      </w:r>
    </w:p>
    <w:p w:rsidR="005973B9" w:rsidRPr="007F4690" w:rsidRDefault="00A9710C" w:rsidP="007F4690">
      <w:pPr>
        <w:pStyle w:val="Heading3"/>
        <w:spacing w:before="74"/>
        <w:ind w:left="0"/>
      </w:pPr>
      <w:r>
        <w:rPr>
          <w:b w:val="0"/>
        </w:rPr>
        <w:br w:type="column"/>
      </w:r>
      <w:r w:rsidR="005973B9">
        <w:rPr>
          <w:color w:val="BF5A14"/>
        </w:rPr>
        <w:br/>
        <w:t>Recent Publications (minimum 5)</w:t>
      </w:r>
    </w:p>
    <w:p w:rsidR="007F4690" w:rsidRPr="007F4690" w:rsidRDefault="007F4690" w:rsidP="007F4690">
      <w:pPr>
        <w:tabs>
          <w:tab w:val="left" w:pos="384"/>
        </w:tabs>
        <w:ind w:right="117"/>
        <w:rPr>
          <w:rFonts w:ascii="Calibri" w:eastAsia="Calibri" w:hAnsi="Calibri" w:cs="Calibri"/>
          <w:sz w:val="18"/>
        </w:rPr>
      </w:pPr>
      <w:r w:rsidRPr="007F4690">
        <w:rPr>
          <w:rFonts w:ascii="Calibri" w:eastAsia="Calibri" w:hAnsi="Calibri" w:cs="Calibri"/>
          <w:sz w:val="18"/>
        </w:rPr>
        <w:t xml:space="preserve">Andrew </w:t>
      </w:r>
      <w:proofErr w:type="spellStart"/>
      <w:r w:rsidRPr="007F4690">
        <w:rPr>
          <w:rFonts w:ascii="Calibri" w:eastAsia="Calibri" w:hAnsi="Calibri" w:cs="Calibri"/>
          <w:sz w:val="18"/>
        </w:rPr>
        <w:t>DiStasio</w:t>
      </w:r>
      <w:proofErr w:type="spellEnd"/>
      <w:r w:rsidRPr="007F4690">
        <w:rPr>
          <w:rFonts w:ascii="Calibri" w:eastAsia="Calibri" w:hAnsi="Calibri" w:cs="Calibri"/>
          <w:sz w:val="18"/>
        </w:rPr>
        <w:t xml:space="preserve">, Ashley Driver, Kristen </w:t>
      </w:r>
      <w:proofErr w:type="spellStart"/>
      <w:r w:rsidRPr="007F4690">
        <w:rPr>
          <w:rFonts w:ascii="Calibri" w:eastAsia="Calibri" w:hAnsi="Calibri" w:cs="Calibri"/>
          <w:sz w:val="18"/>
        </w:rPr>
        <w:t>Sund</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Milene</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Donlin</w:t>
      </w:r>
      <w:proofErr w:type="spellEnd"/>
      <w:r w:rsidRPr="007F4690">
        <w:rPr>
          <w:rFonts w:ascii="Calibri" w:eastAsia="Calibri" w:hAnsi="Calibri" w:cs="Calibri"/>
          <w:sz w:val="18"/>
        </w:rPr>
        <w:t>, Shabnam Pooya, Beth Kline-</w:t>
      </w:r>
      <w:proofErr w:type="spellStart"/>
      <w:r w:rsidRPr="007F4690">
        <w:rPr>
          <w:rFonts w:ascii="Calibri" w:eastAsia="Calibri" w:hAnsi="Calibri" w:cs="Calibri"/>
          <w:sz w:val="18"/>
        </w:rPr>
        <w:t>Fath</w:t>
      </w:r>
      <w:proofErr w:type="spellEnd"/>
      <w:r w:rsidRPr="007F4690">
        <w:rPr>
          <w:rFonts w:ascii="Calibri" w:eastAsia="Calibri" w:hAnsi="Calibri" w:cs="Calibri"/>
          <w:sz w:val="18"/>
        </w:rPr>
        <w:t xml:space="preserve">, Kenneth Kaufman, Cynthia Prows, Elizabeth </w:t>
      </w:r>
      <w:proofErr w:type="spellStart"/>
      <w:r w:rsidRPr="007F4690">
        <w:rPr>
          <w:rFonts w:ascii="Calibri" w:eastAsia="Calibri" w:hAnsi="Calibri" w:cs="Calibri"/>
          <w:sz w:val="18"/>
        </w:rPr>
        <w:t>Schorry</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Biplab</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DasGupta</w:t>
      </w:r>
      <w:proofErr w:type="spellEnd"/>
      <w:r w:rsidRPr="007F4690">
        <w:rPr>
          <w:rFonts w:ascii="Calibri" w:eastAsia="Calibri" w:hAnsi="Calibri" w:cs="Calibri"/>
          <w:sz w:val="18"/>
        </w:rPr>
        <w:t xml:space="preserve">, Rolf </w:t>
      </w:r>
      <w:proofErr w:type="spellStart"/>
      <w:r w:rsidRPr="007F4690">
        <w:rPr>
          <w:rFonts w:ascii="Calibri" w:eastAsia="Calibri" w:hAnsi="Calibri" w:cs="Calibri"/>
          <w:sz w:val="18"/>
        </w:rPr>
        <w:t>Stottmann</w:t>
      </w:r>
      <w:proofErr w:type="spellEnd"/>
      <w:r w:rsidRPr="007F4690">
        <w:rPr>
          <w:rFonts w:ascii="Calibri" w:eastAsia="Calibri" w:hAnsi="Calibri" w:cs="Calibri"/>
          <w:sz w:val="18"/>
        </w:rPr>
        <w:t xml:space="preserve">. Copb2 Is Essential For Embryogenesis </w:t>
      </w:r>
      <w:proofErr w:type="gramStart"/>
      <w:r w:rsidRPr="007F4690">
        <w:rPr>
          <w:rFonts w:ascii="Calibri" w:eastAsia="Calibri" w:hAnsi="Calibri" w:cs="Calibri"/>
          <w:sz w:val="18"/>
        </w:rPr>
        <w:t>And</w:t>
      </w:r>
      <w:proofErr w:type="gramEnd"/>
      <w:r w:rsidRPr="007F4690">
        <w:rPr>
          <w:rFonts w:ascii="Calibri" w:eastAsia="Calibri" w:hAnsi="Calibri" w:cs="Calibri"/>
          <w:sz w:val="18"/>
        </w:rPr>
        <w:t xml:space="preserve"> </w:t>
      </w:r>
      <w:proofErr w:type="spellStart"/>
      <w:r w:rsidRPr="007F4690">
        <w:rPr>
          <w:rFonts w:ascii="Calibri" w:eastAsia="Calibri" w:hAnsi="Calibri" w:cs="Calibri"/>
          <w:sz w:val="18"/>
        </w:rPr>
        <w:t>Hypomorphic</w:t>
      </w:r>
      <w:proofErr w:type="spellEnd"/>
      <w:r w:rsidRPr="007F4690">
        <w:rPr>
          <w:rFonts w:ascii="Calibri" w:eastAsia="Calibri" w:hAnsi="Calibri" w:cs="Calibri"/>
          <w:sz w:val="18"/>
        </w:rPr>
        <w:t xml:space="preserve"> Mutations Cause Human Microcephaly. </w:t>
      </w:r>
      <w:proofErr w:type="spellStart"/>
      <w:proofErr w:type="gramStart"/>
      <w:r w:rsidRPr="007F4690">
        <w:rPr>
          <w:rFonts w:ascii="Calibri" w:eastAsia="Calibri" w:hAnsi="Calibri" w:cs="Calibri"/>
          <w:sz w:val="18"/>
        </w:rPr>
        <w:t>bioRxiv</w:t>
      </w:r>
      <w:proofErr w:type="spellEnd"/>
      <w:proofErr w:type="gramEnd"/>
      <w:r w:rsidRPr="007F4690">
        <w:rPr>
          <w:rFonts w:ascii="Calibri" w:eastAsia="Calibri" w:hAnsi="Calibri" w:cs="Calibri"/>
          <w:sz w:val="18"/>
        </w:rPr>
        <w:t xml:space="preserve">. </w:t>
      </w:r>
      <w:proofErr w:type="spellStart"/>
      <w:proofErr w:type="gramStart"/>
      <w:r w:rsidRPr="007F4690">
        <w:rPr>
          <w:rFonts w:ascii="Calibri" w:eastAsia="Calibri" w:hAnsi="Calibri" w:cs="Calibri"/>
          <w:sz w:val="18"/>
        </w:rPr>
        <w:t>doi</w:t>
      </w:r>
      <w:proofErr w:type="spellEnd"/>
      <w:proofErr w:type="gramEnd"/>
      <w:r w:rsidRPr="007F4690">
        <w:rPr>
          <w:rFonts w:ascii="Calibri" w:eastAsia="Calibri" w:hAnsi="Calibri" w:cs="Calibri"/>
          <w:sz w:val="18"/>
        </w:rPr>
        <w:t>: https://doi.org/10.1101/135236</w:t>
      </w: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r w:rsidRPr="007F4690">
        <w:rPr>
          <w:rFonts w:ascii="Calibri" w:eastAsia="Calibri" w:hAnsi="Calibri" w:cs="Calibri"/>
          <w:sz w:val="18"/>
        </w:rPr>
        <w:t xml:space="preserve">Stephanie M. Cossette, </w:t>
      </w:r>
      <w:proofErr w:type="spellStart"/>
      <w:r w:rsidRPr="007F4690">
        <w:rPr>
          <w:rFonts w:ascii="Calibri" w:eastAsia="Calibri" w:hAnsi="Calibri" w:cs="Calibri"/>
          <w:sz w:val="18"/>
        </w:rPr>
        <w:t>Vijesh</w:t>
      </w:r>
      <w:proofErr w:type="spellEnd"/>
      <w:r w:rsidRPr="007F4690">
        <w:rPr>
          <w:rFonts w:ascii="Calibri" w:eastAsia="Calibri" w:hAnsi="Calibri" w:cs="Calibri"/>
          <w:sz w:val="18"/>
        </w:rPr>
        <w:t xml:space="preserve"> J. </w:t>
      </w:r>
      <w:proofErr w:type="spellStart"/>
      <w:r w:rsidRPr="007F4690">
        <w:rPr>
          <w:rFonts w:ascii="Calibri" w:eastAsia="Calibri" w:hAnsi="Calibri" w:cs="Calibri"/>
          <w:sz w:val="18"/>
        </w:rPr>
        <w:t>Bhute</w:t>
      </w:r>
      <w:proofErr w:type="spellEnd"/>
      <w:r w:rsidRPr="007F4690">
        <w:rPr>
          <w:rFonts w:ascii="Calibri" w:eastAsia="Calibri" w:hAnsi="Calibri" w:cs="Calibri"/>
          <w:sz w:val="18"/>
        </w:rPr>
        <w:t xml:space="preserve">, Xiaoping </w:t>
      </w:r>
      <w:proofErr w:type="spellStart"/>
      <w:r w:rsidRPr="007F4690">
        <w:rPr>
          <w:rFonts w:ascii="Calibri" w:eastAsia="Calibri" w:hAnsi="Calibri" w:cs="Calibri"/>
          <w:sz w:val="18"/>
        </w:rPr>
        <w:t>Bao</w:t>
      </w:r>
      <w:proofErr w:type="spellEnd"/>
      <w:r w:rsidRPr="007F4690">
        <w:rPr>
          <w:rFonts w:ascii="Calibri" w:eastAsia="Calibri" w:hAnsi="Calibri" w:cs="Calibri"/>
          <w:sz w:val="18"/>
        </w:rPr>
        <w:t xml:space="preserve">, Leanne M. </w:t>
      </w:r>
      <w:proofErr w:type="spellStart"/>
      <w:r w:rsidRPr="007F4690">
        <w:rPr>
          <w:rFonts w:ascii="Calibri" w:eastAsia="Calibri" w:hAnsi="Calibri" w:cs="Calibri"/>
          <w:sz w:val="18"/>
        </w:rPr>
        <w:t>Harmann</w:t>
      </w:r>
      <w:proofErr w:type="spellEnd"/>
      <w:r w:rsidRPr="007F4690">
        <w:rPr>
          <w:rFonts w:ascii="Calibri" w:eastAsia="Calibri" w:hAnsi="Calibri" w:cs="Calibri"/>
          <w:sz w:val="18"/>
        </w:rPr>
        <w:t xml:space="preserve">, Mark A. </w:t>
      </w:r>
      <w:proofErr w:type="spellStart"/>
      <w:r w:rsidRPr="007F4690">
        <w:rPr>
          <w:rFonts w:ascii="Calibri" w:eastAsia="Calibri" w:hAnsi="Calibri" w:cs="Calibri"/>
          <w:sz w:val="18"/>
        </w:rPr>
        <w:t>Horswill</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Indranil</w:t>
      </w:r>
      <w:proofErr w:type="spellEnd"/>
      <w:r w:rsidRPr="007F4690">
        <w:rPr>
          <w:rFonts w:ascii="Calibri" w:eastAsia="Calibri" w:hAnsi="Calibri" w:cs="Calibri"/>
          <w:sz w:val="18"/>
        </w:rPr>
        <w:t xml:space="preserve"> Sinha, Adam </w:t>
      </w:r>
      <w:proofErr w:type="spellStart"/>
      <w:r w:rsidRPr="007F4690">
        <w:rPr>
          <w:rFonts w:ascii="Calibri" w:eastAsia="Calibri" w:hAnsi="Calibri" w:cs="Calibri"/>
          <w:sz w:val="18"/>
        </w:rPr>
        <w:t>Gastonguay</w:t>
      </w:r>
      <w:proofErr w:type="spellEnd"/>
      <w:r w:rsidRPr="007F4690">
        <w:rPr>
          <w:rFonts w:ascii="Calibri" w:eastAsia="Calibri" w:hAnsi="Calibri" w:cs="Calibri"/>
          <w:sz w:val="18"/>
        </w:rPr>
        <w:t xml:space="preserve">, Shabnam Pooya, Michelle </w:t>
      </w:r>
      <w:proofErr w:type="spellStart"/>
      <w:r w:rsidRPr="007F4690">
        <w:rPr>
          <w:rFonts w:ascii="Calibri" w:eastAsia="Calibri" w:hAnsi="Calibri" w:cs="Calibri"/>
          <w:sz w:val="18"/>
        </w:rPr>
        <w:t>Bordas</w:t>
      </w:r>
      <w:proofErr w:type="spellEnd"/>
      <w:r w:rsidRPr="007F4690">
        <w:rPr>
          <w:rFonts w:ascii="Calibri" w:eastAsia="Calibri" w:hAnsi="Calibri" w:cs="Calibri"/>
          <w:sz w:val="18"/>
        </w:rPr>
        <w:t xml:space="preserve">, Suresh N. Kumar, </w:t>
      </w:r>
      <w:proofErr w:type="spellStart"/>
      <w:r w:rsidRPr="007F4690">
        <w:rPr>
          <w:rFonts w:ascii="Calibri" w:eastAsia="Calibri" w:hAnsi="Calibri" w:cs="Calibri"/>
          <w:sz w:val="18"/>
        </w:rPr>
        <w:t>Shama</w:t>
      </w:r>
      <w:proofErr w:type="spellEnd"/>
      <w:r w:rsidRPr="007F4690">
        <w:rPr>
          <w:rFonts w:ascii="Calibri" w:eastAsia="Calibri" w:hAnsi="Calibri" w:cs="Calibri"/>
          <w:sz w:val="18"/>
        </w:rPr>
        <w:t xml:space="preserve"> P. Mirza, Sean </w:t>
      </w:r>
      <w:proofErr w:type="spellStart"/>
      <w:r w:rsidRPr="007F4690">
        <w:rPr>
          <w:rFonts w:ascii="Calibri" w:eastAsia="Calibri" w:hAnsi="Calibri" w:cs="Calibri"/>
          <w:sz w:val="18"/>
        </w:rPr>
        <w:t>Palecek</w:t>
      </w:r>
      <w:proofErr w:type="spellEnd"/>
      <w:r w:rsidRPr="007F4690">
        <w:rPr>
          <w:rFonts w:ascii="Calibri" w:eastAsia="Calibri" w:hAnsi="Calibri" w:cs="Calibri"/>
          <w:sz w:val="18"/>
        </w:rPr>
        <w:t xml:space="preserve">, Jennifer </w:t>
      </w:r>
      <w:proofErr w:type="spellStart"/>
      <w:r w:rsidRPr="007F4690">
        <w:rPr>
          <w:rFonts w:ascii="Calibri" w:eastAsia="Calibri" w:hAnsi="Calibri" w:cs="Calibri"/>
          <w:sz w:val="18"/>
        </w:rPr>
        <w:t>Strande</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Ramani</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Ramchandran</w:t>
      </w:r>
      <w:proofErr w:type="spellEnd"/>
      <w:r w:rsidRPr="007F4690">
        <w:rPr>
          <w:rFonts w:ascii="Calibri" w:eastAsia="Calibri" w:hAnsi="Calibri" w:cs="Calibri"/>
          <w:sz w:val="18"/>
        </w:rPr>
        <w:t xml:space="preserve">. Sucrose Non-Fermenting Related Kinase Enzyme Mediated Rho-Associated Kinase Signaling is Responsible for Cardiac Function. Circulation: Cardiovascular Genetics. </w:t>
      </w:r>
      <w:proofErr w:type="gramStart"/>
      <w:r w:rsidRPr="007F4690">
        <w:rPr>
          <w:rFonts w:ascii="Calibri" w:eastAsia="Calibri" w:hAnsi="Calibri" w:cs="Calibri"/>
          <w:sz w:val="18"/>
        </w:rPr>
        <w:t>2016</w:t>
      </w:r>
      <w:proofErr w:type="gramEnd"/>
      <w:r w:rsidRPr="007F4690">
        <w:rPr>
          <w:rFonts w:ascii="Calibri" w:eastAsia="Calibri" w:hAnsi="Calibri" w:cs="Calibri"/>
          <w:sz w:val="18"/>
        </w:rPr>
        <w:t xml:space="preserve">; CIRCGENETICS.116.001515. </w:t>
      </w:r>
      <w:proofErr w:type="spellStart"/>
      <w:r w:rsidRPr="007F4690">
        <w:rPr>
          <w:rFonts w:ascii="Calibri" w:eastAsia="Calibri" w:hAnsi="Calibri" w:cs="Calibri"/>
          <w:sz w:val="18"/>
        </w:rPr>
        <w:t>doi:https</w:t>
      </w:r>
      <w:proofErr w:type="spellEnd"/>
      <w:r w:rsidRPr="007F4690">
        <w:rPr>
          <w:rFonts w:ascii="Calibri" w:eastAsia="Calibri" w:hAnsi="Calibri" w:cs="Calibri"/>
          <w:sz w:val="18"/>
        </w:rPr>
        <w:t>://doi.org/10.1161/CIRCGENETICS.116.001515</w:t>
      </w: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proofErr w:type="spellStart"/>
      <w:r w:rsidRPr="007F4690">
        <w:rPr>
          <w:rFonts w:ascii="Calibri" w:eastAsia="Calibri" w:hAnsi="Calibri" w:cs="Calibri"/>
          <w:sz w:val="18"/>
        </w:rPr>
        <w:t>Sreenivasulu</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Kilari</w:t>
      </w:r>
      <w:proofErr w:type="spellEnd"/>
      <w:r w:rsidRPr="007F4690">
        <w:rPr>
          <w:rFonts w:ascii="Calibri" w:eastAsia="Calibri" w:hAnsi="Calibri" w:cs="Calibri"/>
          <w:sz w:val="18"/>
        </w:rPr>
        <w:t xml:space="preserve">, Stephanie Cossette, Pooya S, Michelle </w:t>
      </w:r>
      <w:proofErr w:type="spellStart"/>
      <w:r w:rsidRPr="007F4690">
        <w:rPr>
          <w:rFonts w:ascii="Calibri" w:eastAsia="Calibri" w:hAnsi="Calibri" w:cs="Calibri"/>
          <w:sz w:val="18"/>
        </w:rPr>
        <w:t>Bordas</w:t>
      </w:r>
      <w:proofErr w:type="spellEnd"/>
      <w:r w:rsidRPr="007F4690">
        <w:rPr>
          <w:rFonts w:ascii="Calibri" w:eastAsia="Calibri" w:hAnsi="Calibri" w:cs="Calibri"/>
          <w:sz w:val="18"/>
        </w:rPr>
        <w:t xml:space="preserve">, Yi-Wen Huang, </w:t>
      </w:r>
      <w:proofErr w:type="spellStart"/>
      <w:r w:rsidRPr="007F4690">
        <w:rPr>
          <w:rFonts w:ascii="Calibri" w:eastAsia="Calibri" w:hAnsi="Calibri" w:cs="Calibri"/>
          <w:sz w:val="18"/>
        </w:rPr>
        <w:t>Ramani</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Ramchandran</w:t>
      </w:r>
      <w:proofErr w:type="spellEnd"/>
      <w:r w:rsidRPr="007F4690">
        <w:rPr>
          <w:rFonts w:ascii="Calibri" w:eastAsia="Calibri" w:hAnsi="Calibri" w:cs="Calibri"/>
          <w:sz w:val="18"/>
        </w:rPr>
        <w:t xml:space="preserve">, George A Wilkinson. Endothelial Cell Surface Expressed Chemotaxis and Apoptosis Regulator (ECSCR) Regulates Lipolysis in White Adipocytes via the PTEN/AKT Signaling Pathway. </w:t>
      </w:r>
      <w:proofErr w:type="spellStart"/>
      <w:r w:rsidRPr="007F4690">
        <w:rPr>
          <w:rFonts w:ascii="Calibri" w:eastAsia="Calibri" w:hAnsi="Calibri" w:cs="Calibri"/>
          <w:sz w:val="18"/>
        </w:rPr>
        <w:t>PLoS</w:t>
      </w:r>
      <w:proofErr w:type="spellEnd"/>
      <w:r w:rsidRPr="007F4690">
        <w:rPr>
          <w:rFonts w:ascii="Calibri" w:eastAsia="Calibri" w:hAnsi="Calibri" w:cs="Calibri"/>
          <w:sz w:val="18"/>
        </w:rPr>
        <w:t xml:space="preserve"> One. 2015 Dec 21 21</w:t>
      </w:r>
      <w:proofErr w:type="gramStart"/>
      <w:r w:rsidRPr="007F4690">
        <w:rPr>
          <w:rFonts w:ascii="Calibri" w:eastAsia="Calibri" w:hAnsi="Calibri" w:cs="Calibri"/>
          <w:sz w:val="18"/>
        </w:rPr>
        <w:t>;10</w:t>
      </w:r>
      <w:proofErr w:type="gramEnd"/>
      <w:r w:rsidRPr="007F4690">
        <w:rPr>
          <w:rFonts w:ascii="Calibri" w:eastAsia="Calibri" w:hAnsi="Calibri" w:cs="Calibri"/>
          <w:sz w:val="18"/>
        </w:rPr>
        <w:t xml:space="preserve">(12). </w:t>
      </w:r>
      <w:proofErr w:type="spellStart"/>
      <w:proofErr w:type="gramStart"/>
      <w:r w:rsidRPr="007F4690">
        <w:rPr>
          <w:rFonts w:ascii="Calibri" w:eastAsia="Calibri" w:hAnsi="Calibri" w:cs="Calibri"/>
          <w:sz w:val="18"/>
        </w:rPr>
        <w:t>doi</w:t>
      </w:r>
      <w:proofErr w:type="spellEnd"/>
      <w:proofErr w:type="gramEnd"/>
      <w:r w:rsidRPr="007F4690">
        <w:rPr>
          <w:rFonts w:ascii="Calibri" w:eastAsia="Calibri" w:hAnsi="Calibri" w:cs="Calibri"/>
          <w:sz w:val="18"/>
        </w:rPr>
        <w:t>: 10.1371/journal.pone.0144185</w:t>
      </w: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r w:rsidRPr="007F4690">
        <w:rPr>
          <w:rFonts w:ascii="Calibri" w:eastAsia="Calibri" w:hAnsi="Calibri" w:cs="Calibri"/>
          <w:sz w:val="18"/>
        </w:rPr>
        <w:t xml:space="preserve">Pooya S, Liu X, Kumar S, Anderson1 J, Imai F, Zhang W, </w:t>
      </w:r>
      <w:proofErr w:type="spellStart"/>
      <w:r w:rsidRPr="007F4690">
        <w:rPr>
          <w:rFonts w:ascii="Calibri" w:eastAsia="Calibri" w:hAnsi="Calibri" w:cs="Calibri"/>
          <w:sz w:val="18"/>
        </w:rPr>
        <w:t>Ciraolo</w:t>
      </w:r>
      <w:proofErr w:type="spellEnd"/>
      <w:r w:rsidRPr="007F4690">
        <w:rPr>
          <w:rFonts w:ascii="Calibri" w:eastAsia="Calibri" w:hAnsi="Calibri" w:cs="Calibri"/>
          <w:sz w:val="18"/>
        </w:rPr>
        <w:t xml:space="preserve"> G, Ratner N, R. </w:t>
      </w:r>
      <w:proofErr w:type="spellStart"/>
      <w:r w:rsidRPr="007F4690">
        <w:rPr>
          <w:rFonts w:ascii="Calibri" w:eastAsia="Calibri" w:hAnsi="Calibri" w:cs="Calibri"/>
          <w:sz w:val="18"/>
        </w:rPr>
        <w:t>Setchell</w:t>
      </w:r>
      <w:proofErr w:type="spellEnd"/>
      <w:r w:rsidRPr="007F4690">
        <w:rPr>
          <w:rFonts w:ascii="Calibri" w:eastAsia="Calibri" w:hAnsi="Calibri" w:cs="Calibri"/>
          <w:sz w:val="18"/>
        </w:rPr>
        <w:t xml:space="preserve"> K D, Yutaka Y, Jankowski M and </w:t>
      </w:r>
      <w:proofErr w:type="spellStart"/>
      <w:r w:rsidRPr="007F4690">
        <w:rPr>
          <w:rFonts w:ascii="Calibri" w:eastAsia="Calibri" w:hAnsi="Calibri" w:cs="Calibri"/>
          <w:sz w:val="18"/>
        </w:rPr>
        <w:t>Dasgupta</w:t>
      </w:r>
      <w:proofErr w:type="spellEnd"/>
      <w:r w:rsidRPr="007F4690">
        <w:rPr>
          <w:rFonts w:ascii="Calibri" w:eastAsia="Calibri" w:hAnsi="Calibri" w:cs="Calibri"/>
          <w:sz w:val="18"/>
        </w:rPr>
        <w:t xml:space="preserve"> B. The Tumor Suppressor LKB1 regulates Myelination through Mitochondrial Metabolism. Nature </w:t>
      </w:r>
      <w:proofErr w:type="spellStart"/>
      <w:r w:rsidRPr="007F4690">
        <w:rPr>
          <w:rFonts w:ascii="Calibri" w:eastAsia="Calibri" w:hAnsi="Calibri" w:cs="Calibri"/>
          <w:sz w:val="18"/>
        </w:rPr>
        <w:t>Commun</w:t>
      </w:r>
      <w:proofErr w:type="spellEnd"/>
      <w:r w:rsidRPr="007F4690">
        <w:rPr>
          <w:rFonts w:ascii="Calibri" w:eastAsia="Calibri" w:hAnsi="Calibri" w:cs="Calibri"/>
          <w:sz w:val="18"/>
        </w:rPr>
        <w:t xml:space="preserve">. 2014 Sep 26; 5:4993. </w:t>
      </w:r>
      <w:proofErr w:type="spellStart"/>
      <w:proofErr w:type="gramStart"/>
      <w:r w:rsidRPr="007F4690">
        <w:rPr>
          <w:rFonts w:ascii="Calibri" w:eastAsia="Calibri" w:hAnsi="Calibri" w:cs="Calibri"/>
          <w:sz w:val="18"/>
        </w:rPr>
        <w:t>doi</w:t>
      </w:r>
      <w:proofErr w:type="spellEnd"/>
      <w:proofErr w:type="gramEnd"/>
      <w:r w:rsidRPr="007F4690">
        <w:rPr>
          <w:rFonts w:ascii="Calibri" w:eastAsia="Calibri" w:hAnsi="Calibri" w:cs="Calibri"/>
          <w:sz w:val="18"/>
        </w:rPr>
        <w:t>: 10.1038/ncomms5993.</w:t>
      </w: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r w:rsidRPr="007F4690">
        <w:rPr>
          <w:rFonts w:ascii="Calibri" w:eastAsia="Calibri" w:hAnsi="Calibri" w:cs="Calibri"/>
          <w:sz w:val="18"/>
        </w:rPr>
        <w:t xml:space="preserve">Liu X, Raj </w:t>
      </w:r>
      <w:proofErr w:type="spellStart"/>
      <w:r w:rsidRPr="007F4690">
        <w:rPr>
          <w:rFonts w:ascii="Calibri" w:eastAsia="Calibri" w:hAnsi="Calibri" w:cs="Calibri"/>
          <w:sz w:val="18"/>
        </w:rPr>
        <w:t>Chhipa</w:t>
      </w:r>
      <w:proofErr w:type="spellEnd"/>
      <w:r w:rsidRPr="007F4690">
        <w:rPr>
          <w:rFonts w:ascii="Calibri" w:eastAsia="Calibri" w:hAnsi="Calibri" w:cs="Calibri"/>
          <w:sz w:val="18"/>
        </w:rPr>
        <w:t xml:space="preserve"> RR, Pooya S, </w:t>
      </w:r>
      <w:proofErr w:type="spellStart"/>
      <w:r w:rsidRPr="007F4690">
        <w:rPr>
          <w:rFonts w:ascii="Calibri" w:eastAsia="Calibri" w:hAnsi="Calibri" w:cs="Calibri"/>
          <w:sz w:val="18"/>
        </w:rPr>
        <w:t>Wortman</w:t>
      </w:r>
      <w:proofErr w:type="spellEnd"/>
      <w:r w:rsidRPr="007F4690">
        <w:rPr>
          <w:rFonts w:ascii="Calibri" w:eastAsia="Calibri" w:hAnsi="Calibri" w:cs="Calibri"/>
          <w:sz w:val="18"/>
        </w:rPr>
        <w:t xml:space="preserve"> M, </w:t>
      </w:r>
      <w:proofErr w:type="spellStart"/>
      <w:r w:rsidRPr="007F4690">
        <w:rPr>
          <w:rFonts w:ascii="Calibri" w:eastAsia="Calibri" w:hAnsi="Calibri" w:cs="Calibri"/>
          <w:sz w:val="18"/>
        </w:rPr>
        <w:t>Yachyshin</w:t>
      </w:r>
      <w:proofErr w:type="spellEnd"/>
      <w:r w:rsidRPr="007F4690">
        <w:rPr>
          <w:rFonts w:ascii="Calibri" w:eastAsia="Calibri" w:hAnsi="Calibri" w:cs="Calibri"/>
          <w:sz w:val="18"/>
        </w:rPr>
        <w:t xml:space="preserve"> S, ML Chow L, Kumar A, Zhou X, Sun Y, Quinn B, McPherson </w:t>
      </w:r>
      <w:proofErr w:type="spellStart"/>
      <w:r w:rsidRPr="007F4690">
        <w:rPr>
          <w:rFonts w:ascii="Calibri" w:eastAsia="Calibri" w:hAnsi="Calibri" w:cs="Calibri"/>
          <w:sz w:val="18"/>
        </w:rPr>
        <w:t>Ch</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Warnick</w:t>
      </w:r>
      <w:proofErr w:type="spellEnd"/>
      <w:r w:rsidRPr="007F4690">
        <w:rPr>
          <w:rFonts w:ascii="Calibri" w:eastAsia="Calibri" w:hAnsi="Calibri" w:cs="Calibri"/>
          <w:sz w:val="18"/>
        </w:rPr>
        <w:t xml:space="preserve"> R E, </w:t>
      </w:r>
      <w:proofErr w:type="spellStart"/>
      <w:r w:rsidRPr="007F4690">
        <w:rPr>
          <w:rFonts w:ascii="Calibri" w:eastAsia="Calibri" w:hAnsi="Calibri" w:cs="Calibri"/>
          <w:sz w:val="18"/>
        </w:rPr>
        <w:t>Kendler</w:t>
      </w:r>
      <w:proofErr w:type="spellEnd"/>
      <w:r w:rsidRPr="007F4690">
        <w:rPr>
          <w:rFonts w:ascii="Calibri" w:eastAsia="Calibri" w:hAnsi="Calibri" w:cs="Calibri"/>
          <w:sz w:val="18"/>
        </w:rPr>
        <w:t xml:space="preserve"> A, </w:t>
      </w:r>
      <w:proofErr w:type="spellStart"/>
      <w:r w:rsidRPr="007F4690">
        <w:rPr>
          <w:rFonts w:ascii="Calibri" w:eastAsia="Calibri" w:hAnsi="Calibri" w:cs="Calibri"/>
          <w:sz w:val="18"/>
        </w:rPr>
        <w:t>Giri</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Sh</w:t>
      </w:r>
      <w:proofErr w:type="spellEnd"/>
      <w:r w:rsidRPr="007F4690">
        <w:rPr>
          <w:rFonts w:ascii="Calibri" w:eastAsia="Calibri" w:hAnsi="Calibri" w:cs="Calibri"/>
          <w:sz w:val="18"/>
        </w:rPr>
        <w:t xml:space="preserve">, </w:t>
      </w:r>
      <w:proofErr w:type="spellStart"/>
      <w:r w:rsidRPr="007F4690">
        <w:rPr>
          <w:rFonts w:ascii="Calibri" w:eastAsia="Calibri" w:hAnsi="Calibri" w:cs="Calibri"/>
          <w:sz w:val="18"/>
        </w:rPr>
        <w:t>Poels</w:t>
      </w:r>
      <w:proofErr w:type="spellEnd"/>
      <w:r w:rsidRPr="007F4690">
        <w:rPr>
          <w:rFonts w:ascii="Calibri" w:eastAsia="Calibri" w:hAnsi="Calibri" w:cs="Calibri"/>
          <w:sz w:val="18"/>
        </w:rPr>
        <w:t xml:space="preserve"> J, </w:t>
      </w:r>
      <w:proofErr w:type="spellStart"/>
      <w:r w:rsidRPr="007F4690">
        <w:rPr>
          <w:rFonts w:ascii="Calibri" w:eastAsia="Calibri" w:hAnsi="Calibri" w:cs="Calibri"/>
          <w:sz w:val="18"/>
        </w:rPr>
        <w:t>Norga</w:t>
      </w:r>
      <w:proofErr w:type="spellEnd"/>
      <w:r w:rsidRPr="007F4690">
        <w:rPr>
          <w:rFonts w:ascii="Calibri" w:eastAsia="Calibri" w:hAnsi="Calibri" w:cs="Calibri"/>
          <w:sz w:val="18"/>
        </w:rPr>
        <w:t xml:space="preserve"> K, </w:t>
      </w:r>
      <w:proofErr w:type="spellStart"/>
      <w:r w:rsidRPr="007F4690">
        <w:rPr>
          <w:rFonts w:ascii="Calibri" w:eastAsia="Calibri" w:hAnsi="Calibri" w:cs="Calibri"/>
          <w:sz w:val="18"/>
        </w:rPr>
        <w:t>Viollet</w:t>
      </w:r>
      <w:proofErr w:type="spellEnd"/>
      <w:r w:rsidRPr="007F4690">
        <w:rPr>
          <w:rFonts w:ascii="Calibri" w:eastAsia="Calibri" w:hAnsi="Calibri" w:cs="Calibri"/>
          <w:sz w:val="18"/>
        </w:rPr>
        <w:t xml:space="preserve"> B, Grabowski G A., </w:t>
      </w:r>
      <w:proofErr w:type="spellStart"/>
      <w:r w:rsidRPr="007F4690">
        <w:rPr>
          <w:rFonts w:ascii="Calibri" w:eastAsia="Calibri" w:hAnsi="Calibri" w:cs="Calibri"/>
          <w:sz w:val="18"/>
        </w:rPr>
        <w:t>Dasgupta</w:t>
      </w:r>
      <w:proofErr w:type="spellEnd"/>
      <w:r w:rsidRPr="007F4690">
        <w:rPr>
          <w:rFonts w:ascii="Calibri" w:eastAsia="Calibri" w:hAnsi="Calibri" w:cs="Calibri"/>
          <w:sz w:val="18"/>
        </w:rPr>
        <w:t xml:space="preserve"> B. Discrete mechanisms of </w:t>
      </w:r>
      <w:proofErr w:type="spellStart"/>
      <w:r w:rsidRPr="007F4690">
        <w:rPr>
          <w:rFonts w:ascii="Calibri" w:eastAsia="Calibri" w:hAnsi="Calibri" w:cs="Calibri"/>
          <w:sz w:val="18"/>
        </w:rPr>
        <w:t>mTOR</w:t>
      </w:r>
      <w:proofErr w:type="spellEnd"/>
      <w:r w:rsidRPr="007F4690">
        <w:rPr>
          <w:rFonts w:ascii="Calibri" w:eastAsia="Calibri" w:hAnsi="Calibri" w:cs="Calibri"/>
          <w:sz w:val="18"/>
        </w:rPr>
        <w:t xml:space="preserve"> and cell cycle regulation by AMPK agonists independent of AMPK. PNAS. 2014 Jan 28</w:t>
      </w:r>
      <w:proofErr w:type="gramStart"/>
      <w:r w:rsidRPr="007F4690">
        <w:rPr>
          <w:rFonts w:ascii="Calibri" w:eastAsia="Calibri" w:hAnsi="Calibri" w:cs="Calibri"/>
          <w:sz w:val="18"/>
        </w:rPr>
        <w:t>;111</w:t>
      </w:r>
      <w:proofErr w:type="gramEnd"/>
      <w:r w:rsidRPr="007F4690">
        <w:rPr>
          <w:rFonts w:ascii="Calibri" w:eastAsia="Calibri" w:hAnsi="Calibri" w:cs="Calibri"/>
          <w:sz w:val="18"/>
        </w:rPr>
        <w:t xml:space="preserve">(4): E435-44. </w:t>
      </w:r>
      <w:proofErr w:type="spellStart"/>
      <w:proofErr w:type="gramStart"/>
      <w:r w:rsidRPr="007F4690">
        <w:rPr>
          <w:rFonts w:ascii="Calibri" w:eastAsia="Calibri" w:hAnsi="Calibri" w:cs="Calibri"/>
          <w:sz w:val="18"/>
        </w:rPr>
        <w:t>doi</w:t>
      </w:r>
      <w:proofErr w:type="spellEnd"/>
      <w:proofErr w:type="gramEnd"/>
      <w:r w:rsidRPr="007F4690">
        <w:rPr>
          <w:rFonts w:ascii="Calibri" w:eastAsia="Calibri" w:hAnsi="Calibri" w:cs="Calibri"/>
          <w:sz w:val="18"/>
        </w:rPr>
        <w:t>: 10.1073/pnas.1311121111.</w:t>
      </w: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p>
    <w:p w:rsidR="007F4690" w:rsidRPr="007F4690" w:rsidRDefault="007F4690" w:rsidP="007F4690">
      <w:pPr>
        <w:tabs>
          <w:tab w:val="left" w:pos="384"/>
        </w:tabs>
        <w:ind w:right="117"/>
        <w:rPr>
          <w:rFonts w:ascii="Calibri" w:eastAsia="Calibri" w:hAnsi="Calibri" w:cs="Calibri"/>
          <w:sz w:val="18"/>
        </w:rPr>
      </w:pPr>
      <w:r w:rsidRPr="007F4690">
        <w:rPr>
          <w:rFonts w:ascii="Calibri" w:eastAsia="Calibri" w:hAnsi="Calibri" w:cs="Calibri"/>
          <w:sz w:val="18"/>
        </w:rPr>
        <w:t xml:space="preserve">Pooya S, Moreno Garcia M, Blaise S, </w:t>
      </w:r>
      <w:proofErr w:type="spellStart"/>
      <w:r w:rsidRPr="007F4690">
        <w:rPr>
          <w:rFonts w:ascii="Calibri" w:eastAsia="Calibri" w:hAnsi="Calibri" w:cs="Calibri"/>
          <w:sz w:val="18"/>
        </w:rPr>
        <w:t>Giudicelli</w:t>
      </w:r>
      <w:proofErr w:type="spellEnd"/>
      <w:r w:rsidRPr="007F4690">
        <w:rPr>
          <w:rFonts w:ascii="Calibri" w:eastAsia="Calibri" w:hAnsi="Calibri" w:cs="Calibri"/>
          <w:sz w:val="18"/>
        </w:rPr>
        <w:t xml:space="preserve">, J, Alberto J, </w:t>
      </w:r>
      <w:proofErr w:type="spellStart"/>
      <w:r w:rsidRPr="007F4690">
        <w:rPr>
          <w:rFonts w:ascii="Calibri" w:eastAsia="Calibri" w:hAnsi="Calibri" w:cs="Calibri"/>
          <w:sz w:val="18"/>
        </w:rPr>
        <w:t>Guéant</w:t>
      </w:r>
      <w:proofErr w:type="spellEnd"/>
      <w:r w:rsidRPr="007F4690">
        <w:rPr>
          <w:rFonts w:ascii="Calibri" w:eastAsia="Calibri" w:hAnsi="Calibri" w:cs="Calibri"/>
          <w:sz w:val="18"/>
        </w:rPr>
        <w:t xml:space="preserve">-Rodriguez R, </w:t>
      </w:r>
      <w:proofErr w:type="spellStart"/>
      <w:r w:rsidRPr="007F4690">
        <w:rPr>
          <w:rFonts w:ascii="Calibri" w:eastAsia="Calibri" w:hAnsi="Calibri" w:cs="Calibri"/>
          <w:sz w:val="18"/>
        </w:rPr>
        <w:t>Jeannesson</w:t>
      </w:r>
      <w:proofErr w:type="spellEnd"/>
      <w:r w:rsidRPr="007F4690">
        <w:rPr>
          <w:rFonts w:ascii="Calibri" w:eastAsia="Calibri" w:hAnsi="Calibri" w:cs="Calibri"/>
          <w:sz w:val="18"/>
        </w:rPr>
        <w:t xml:space="preserve"> E, </w:t>
      </w:r>
      <w:proofErr w:type="spellStart"/>
      <w:r w:rsidRPr="007F4690">
        <w:rPr>
          <w:rFonts w:ascii="Calibri" w:eastAsia="Calibri" w:hAnsi="Calibri" w:cs="Calibri"/>
          <w:sz w:val="18"/>
        </w:rPr>
        <w:t>Peyrin-Biroulet</w:t>
      </w:r>
      <w:proofErr w:type="spellEnd"/>
      <w:r w:rsidRPr="007F4690">
        <w:rPr>
          <w:rFonts w:ascii="Calibri" w:eastAsia="Calibri" w:hAnsi="Calibri" w:cs="Calibri"/>
          <w:sz w:val="18"/>
        </w:rPr>
        <w:t xml:space="preserve"> L, </w:t>
      </w:r>
      <w:proofErr w:type="spellStart"/>
      <w:r w:rsidRPr="007F4690">
        <w:rPr>
          <w:rFonts w:ascii="Calibri" w:eastAsia="Calibri" w:hAnsi="Calibri" w:cs="Calibri"/>
          <w:sz w:val="18"/>
        </w:rPr>
        <w:t>Bronowicki</w:t>
      </w:r>
      <w:proofErr w:type="spellEnd"/>
      <w:r w:rsidRPr="007F4690">
        <w:rPr>
          <w:rFonts w:ascii="Calibri" w:eastAsia="Calibri" w:hAnsi="Calibri" w:cs="Calibri"/>
          <w:sz w:val="18"/>
        </w:rPr>
        <w:t xml:space="preserve"> J, </w:t>
      </w:r>
      <w:proofErr w:type="spellStart"/>
      <w:r w:rsidRPr="007F4690">
        <w:rPr>
          <w:rFonts w:ascii="Calibri" w:eastAsia="Calibri" w:hAnsi="Calibri" w:cs="Calibri"/>
          <w:sz w:val="18"/>
        </w:rPr>
        <w:t>Guéant</w:t>
      </w:r>
      <w:proofErr w:type="spellEnd"/>
      <w:r w:rsidRPr="007F4690">
        <w:rPr>
          <w:rFonts w:ascii="Calibri" w:eastAsia="Calibri" w:hAnsi="Calibri" w:cs="Calibri"/>
          <w:sz w:val="18"/>
        </w:rPr>
        <w:t xml:space="preserve"> JL. Methyl donor deficiency impairs fatty acid oxidation through PGC-1α </w:t>
      </w:r>
      <w:proofErr w:type="spellStart"/>
      <w:r w:rsidRPr="007F4690">
        <w:rPr>
          <w:rFonts w:ascii="Calibri" w:eastAsia="Calibri" w:hAnsi="Calibri" w:cs="Calibri"/>
          <w:sz w:val="18"/>
        </w:rPr>
        <w:t>hypomethylation</w:t>
      </w:r>
      <w:proofErr w:type="spellEnd"/>
      <w:r w:rsidRPr="007F4690">
        <w:rPr>
          <w:rFonts w:ascii="Calibri" w:eastAsia="Calibri" w:hAnsi="Calibri" w:cs="Calibri"/>
          <w:sz w:val="18"/>
        </w:rPr>
        <w:t xml:space="preserve"> and decreased ER-α, ERR-</w:t>
      </w:r>
      <w:proofErr w:type="gramStart"/>
      <w:r w:rsidRPr="007F4690">
        <w:rPr>
          <w:rFonts w:ascii="Calibri" w:eastAsia="Calibri" w:hAnsi="Calibri" w:cs="Calibri"/>
          <w:sz w:val="18"/>
        </w:rPr>
        <w:t>α and</w:t>
      </w:r>
      <w:proofErr w:type="gramEnd"/>
      <w:r w:rsidRPr="007F4690">
        <w:rPr>
          <w:rFonts w:ascii="Calibri" w:eastAsia="Calibri" w:hAnsi="Calibri" w:cs="Calibri"/>
          <w:sz w:val="18"/>
        </w:rPr>
        <w:t xml:space="preserve"> HNF4-α in rat liver.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AE3E37">
      <w:pPr>
        <w:pStyle w:val="BodyText"/>
        <w:rPr>
          <w:rFonts w:ascii="Calibri"/>
          <w:b/>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0CE4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F70E6A" w:rsidP="00404E5B">
      <w:pPr>
        <w:spacing w:before="92"/>
        <w:ind w:right="4234"/>
        <w:rPr>
          <w:noProof/>
        </w:rPr>
      </w:pPr>
      <w:r w:rsidRPr="001A624B">
        <w:rPr>
          <w:noProof/>
        </w:rPr>
        <w:drawing>
          <wp:anchor distT="0" distB="0" distL="114300" distR="114300" simplePos="0" relativeHeight="251653632" behindDoc="1" locked="0" layoutInCell="1" allowOverlap="1">
            <wp:simplePos x="0" y="0"/>
            <wp:positionH relativeFrom="column">
              <wp:posOffset>186524</wp:posOffset>
            </wp:positionH>
            <wp:positionV relativeFrom="paragraph">
              <wp:posOffset>63196</wp:posOffset>
            </wp:positionV>
            <wp:extent cx="674370" cy="850900"/>
            <wp:effectExtent l="0" t="0" r="0" b="6350"/>
            <wp:wrapTight wrapText="bothSides">
              <wp:wrapPolygon edited="0">
                <wp:start x="0" y="0"/>
                <wp:lineTo x="0" y="21278"/>
                <wp:lineTo x="20746" y="21278"/>
                <wp:lineTo x="20746" y="0"/>
                <wp:lineTo x="0" y="0"/>
              </wp:wrapPolygon>
            </wp:wrapTight>
            <wp:docPr id="2" name="Picture 2" descr="Image result for shabnam po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abnam pooy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449" r="7361" b="26624"/>
                    <a:stretch/>
                  </pic:blipFill>
                  <pic:spPr bwMode="auto">
                    <a:xfrm>
                      <a:off x="0" y="0"/>
                      <a:ext cx="674370" cy="850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7F4690" w:rsidRPr="007F4690">
        <w:rPr>
          <w:noProof/>
        </w:rPr>
        <w:t xml:space="preserve"> </w:t>
      </w:r>
    </w:p>
    <w:p w:rsidR="007F4690" w:rsidRPr="00F70E6A" w:rsidRDefault="00106D12" w:rsidP="00F70E6A">
      <w:pPr>
        <w:pStyle w:val="Heading3"/>
        <w:spacing w:before="74"/>
        <w:rPr>
          <w:rFonts w:ascii="Tw Cen MT" w:eastAsia="Tw Cen MT" w:hAnsi="Tw Cen MT" w:cs="Tw Cen MT"/>
          <w:b w:val="0"/>
          <w:bCs w:val="0"/>
          <w:sz w:val="18"/>
          <w:szCs w:val="18"/>
        </w:rPr>
      </w:pPr>
      <w:r w:rsidRPr="00F70E6A">
        <w:rPr>
          <w:rFonts w:ascii="Tw Cen MT" w:eastAsia="Tw Cen MT" w:hAnsi="Tw Cen MT" w:cs="Tw Cen MT"/>
          <w:b w:val="0"/>
          <w:bCs w:val="0"/>
          <w:sz w:val="18"/>
          <w:szCs w:val="18"/>
        </w:rPr>
        <w:t xml:space="preserve">Dr. Shabnam Pooya is an assistant professor at California State University </w:t>
      </w:r>
      <w:proofErr w:type="spellStart"/>
      <w:r w:rsidRPr="00F70E6A">
        <w:rPr>
          <w:rFonts w:ascii="Tw Cen MT" w:eastAsia="Tw Cen MT" w:hAnsi="Tw Cen MT" w:cs="Tw Cen MT"/>
          <w:b w:val="0"/>
          <w:bCs w:val="0"/>
          <w:sz w:val="18"/>
          <w:szCs w:val="18"/>
        </w:rPr>
        <w:t>Fresni</w:t>
      </w:r>
      <w:proofErr w:type="spellEnd"/>
      <w:r w:rsidRPr="00F70E6A">
        <w:rPr>
          <w:rFonts w:ascii="Tw Cen MT" w:eastAsia="Tw Cen MT" w:hAnsi="Tw Cen MT" w:cs="Tw Cen MT"/>
          <w:b w:val="0"/>
          <w:bCs w:val="0"/>
          <w:sz w:val="18"/>
          <w:szCs w:val="18"/>
        </w:rPr>
        <w:t>. She</w:t>
      </w:r>
      <w:r w:rsidR="007F4690" w:rsidRPr="00F70E6A">
        <w:rPr>
          <w:rFonts w:ascii="Tw Cen MT" w:eastAsia="Tw Cen MT" w:hAnsi="Tw Cen MT" w:cs="Tw Cen MT"/>
          <w:b w:val="0"/>
          <w:bCs w:val="0"/>
          <w:sz w:val="18"/>
          <w:szCs w:val="18"/>
        </w:rPr>
        <w:t xml:space="preserve"> </w:t>
      </w:r>
      <w:r w:rsidR="007F4690" w:rsidRPr="00F70E6A">
        <w:rPr>
          <w:rFonts w:ascii="Tw Cen MT" w:eastAsia="Tw Cen MT" w:hAnsi="Tw Cen MT" w:cs="Tw Cen MT"/>
          <w:b w:val="0"/>
          <w:bCs w:val="0"/>
          <w:sz w:val="18"/>
          <w:szCs w:val="18"/>
        </w:rPr>
        <w:t>received</w:t>
      </w:r>
      <w:r w:rsidR="007F4690" w:rsidRPr="00F70E6A">
        <w:rPr>
          <w:rFonts w:ascii="Tw Cen MT" w:eastAsia="Tw Cen MT" w:hAnsi="Tw Cen MT" w:cs="Tw Cen MT"/>
          <w:b w:val="0"/>
          <w:bCs w:val="0"/>
          <w:sz w:val="18"/>
          <w:szCs w:val="18"/>
        </w:rPr>
        <w:t xml:space="preserve"> her </w:t>
      </w:r>
      <w:proofErr w:type="spellStart"/>
      <w:r w:rsidR="007F4690" w:rsidRPr="00F70E6A">
        <w:rPr>
          <w:rFonts w:ascii="Tw Cen MT" w:eastAsia="Tw Cen MT" w:hAnsi="Tw Cen MT" w:cs="Tw Cen MT"/>
          <w:b w:val="0"/>
          <w:bCs w:val="0"/>
          <w:sz w:val="18"/>
          <w:szCs w:val="18"/>
        </w:rPr>
        <w:t>Ph.D</w:t>
      </w:r>
      <w:proofErr w:type="spellEnd"/>
      <w:r w:rsidR="007F4690" w:rsidRPr="00F70E6A">
        <w:rPr>
          <w:rFonts w:ascii="Tw Cen MT" w:eastAsia="Tw Cen MT" w:hAnsi="Tw Cen MT" w:cs="Tw Cen MT"/>
          <w:b w:val="0"/>
          <w:bCs w:val="0"/>
          <w:sz w:val="18"/>
          <w:szCs w:val="18"/>
        </w:rPr>
        <w:t xml:space="preserve"> degree focusing on the effec</w:t>
      </w:r>
      <w:r w:rsidR="007F4690" w:rsidRPr="00F70E6A">
        <w:rPr>
          <w:rFonts w:ascii="Tw Cen MT" w:eastAsia="Tw Cen MT" w:hAnsi="Tw Cen MT" w:cs="Tw Cen MT"/>
          <w:b w:val="0"/>
          <w:bCs w:val="0"/>
          <w:sz w:val="18"/>
          <w:szCs w:val="18"/>
        </w:rPr>
        <w:t>ts of methyl donor deficiency (V</w:t>
      </w:r>
      <w:r w:rsidR="007F4690" w:rsidRPr="00F70E6A">
        <w:rPr>
          <w:rFonts w:ascii="Tw Cen MT" w:eastAsia="Tw Cen MT" w:hAnsi="Tw Cen MT" w:cs="Tw Cen MT"/>
          <w:b w:val="0"/>
          <w:bCs w:val="0"/>
          <w:sz w:val="18"/>
          <w:szCs w:val="18"/>
        </w:rPr>
        <w:t>itam</w:t>
      </w:r>
      <w:r w:rsidR="007F4690" w:rsidRPr="00F70E6A">
        <w:rPr>
          <w:rFonts w:ascii="Tw Cen MT" w:eastAsia="Tw Cen MT" w:hAnsi="Tw Cen MT" w:cs="Tw Cen MT"/>
          <w:b w:val="0"/>
          <w:bCs w:val="0"/>
          <w:sz w:val="18"/>
          <w:szCs w:val="18"/>
        </w:rPr>
        <w:t>i</w:t>
      </w:r>
      <w:r w:rsidR="007F4690" w:rsidRPr="00F70E6A">
        <w:rPr>
          <w:rFonts w:ascii="Tw Cen MT" w:eastAsia="Tw Cen MT" w:hAnsi="Tw Cen MT" w:cs="Tw Cen MT"/>
          <w:b w:val="0"/>
          <w:bCs w:val="0"/>
          <w:sz w:val="18"/>
          <w:szCs w:val="18"/>
        </w:rPr>
        <w:t>n B12 and Folate) during pregnancy and lactation on myocardial and hepatic tissue metabolism in rats</w:t>
      </w:r>
      <w:r w:rsidRPr="00F70E6A">
        <w:rPr>
          <w:rFonts w:ascii="Tw Cen MT" w:eastAsia="Tw Cen MT" w:hAnsi="Tw Cen MT" w:cs="Tw Cen MT"/>
          <w:b w:val="0"/>
          <w:bCs w:val="0"/>
          <w:sz w:val="18"/>
          <w:szCs w:val="18"/>
        </w:rPr>
        <w:t xml:space="preserve"> (</w:t>
      </w:r>
      <w:r w:rsidR="001A624B" w:rsidRPr="00F70E6A">
        <w:rPr>
          <w:rFonts w:ascii="Tw Cen MT" w:eastAsia="Tw Cen MT" w:hAnsi="Tw Cen MT" w:cs="Tw Cen MT"/>
          <w:b w:val="0"/>
          <w:bCs w:val="0"/>
          <w:sz w:val="18"/>
          <w:szCs w:val="18"/>
        </w:rPr>
        <w:t>University of Lorraine</w:t>
      </w:r>
      <w:r w:rsidRPr="00F70E6A">
        <w:rPr>
          <w:rFonts w:ascii="Tw Cen MT" w:eastAsia="Tw Cen MT" w:hAnsi="Tw Cen MT" w:cs="Tw Cen MT"/>
          <w:b w:val="0"/>
          <w:bCs w:val="0"/>
          <w:sz w:val="18"/>
          <w:szCs w:val="18"/>
        </w:rPr>
        <w:t>, Nany, France)</w:t>
      </w:r>
      <w:r w:rsidR="007F4690" w:rsidRPr="00F70E6A">
        <w:rPr>
          <w:rFonts w:ascii="Tw Cen MT" w:eastAsia="Tw Cen MT" w:hAnsi="Tw Cen MT" w:cs="Tw Cen MT"/>
          <w:b w:val="0"/>
          <w:bCs w:val="0"/>
          <w:sz w:val="18"/>
          <w:szCs w:val="18"/>
        </w:rPr>
        <w:t>. </w:t>
      </w:r>
      <w:r w:rsidR="001A624B" w:rsidRPr="00F70E6A">
        <w:rPr>
          <w:rFonts w:ascii="Tw Cen MT" w:eastAsia="Tw Cen MT" w:hAnsi="Tw Cen MT" w:cs="Tw Cen MT"/>
          <w:b w:val="0"/>
          <w:bCs w:val="0"/>
          <w:sz w:val="18"/>
          <w:szCs w:val="18"/>
        </w:rPr>
        <w:t>Later a</w:t>
      </w:r>
      <w:r w:rsidR="007F4690" w:rsidRPr="00F70E6A">
        <w:rPr>
          <w:rFonts w:ascii="Tw Cen MT" w:eastAsia="Tw Cen MT" w:hAnsi="Tw Cen MT" w:cs="Tw Cen MT"/>
          <w:b w:val="0"/>
          <w:bCs w:val="0"/>
          <w:sz w:val="18"/>
          <w:szCs w:val="18"/>
        </w:rPr>
        <w:t xml:space="preserve">s a post-doctoral research fellow at the Medical College of Wisconsin (Milwaukee), </w:t>
      </w:r>
      <w:r w:rsidR="007F4690" w:rsidRPr="00F70E6A">
        <w:rPr>
          <w:rFonts w:ascii="Tw Cen MT" w:eastAsia="Tw Cen MT" w:hAnsi="Tw Cen MT" w:cs="Tw Cen MT"/>
          <w:b w:val="0"/>
          <w:bCs w:val="0"/>
          <w:sz w:val="18"/>
          <w:szCs w:val="18"/>
        </w:rPr>
        <w:t xml:space="preserve">she studied </w:t>
      </w:r>
      <w:proofErr w:type="spellStart"/>
      <w:r w:rsidR="007F4690" w:rsidRPr="00F70E6A">
        <w:rPr>
          <w:rFonts w:ascii="Tw Cen MT" w:eastAsia="Tw Cen MT" w:hAnsi="Tw Cen MT" w:cs="Tw Cen MT"/>
          <w:b w:val="0"/>
          <w:bCs w:val="0"/>
          <w:sz w:val="18"/>
          <w:szCs w:val="18"/>
        </w:rPr>
        <w:t>V</w:t>
      </w:r>
      <w:r w:rsidR="007F4690" w:rsidRPr="00F70E6A">
        <w:rPr>
          <w:rFonts w:ascii="Tw Cen MT" w:eastAsia="Tw Cen MT" w:hAnsi="Tw Cen MT" w:cs="Tw Cen MT"/>
          <w:b w:val="0"/>
          <w:bCs w:val="0"/>
          <w:sz w:val="18"/>
          <w:szCs w:val="18"/>
        </w:rPr>
        <w:t>asculogenesis</w:t>
      </w:r>
      <w:proofErr w:type="spellEnd"/>
      <w:r w:rsidR="007F4690" w:rsidRPr="00F70E6A">
        <w:rPr>
          <w:rFonts w:ascii="Tw Cen MT" w:eastAsia="Tw Cen MT" w:hAnsi="Tw Cen MT" w:cs="Tw Cen MT"/>
          <w:b w:val="0"/>
          <w:bCs w:val="0"/>
          <w:sz w:val="18"/>
          <w:szCs w:val="18"/>
        </w:rPr>
        <w:t xml:space="preserve"> and brain development biology, neuro-stem cell signaling and metabolism in the department of pediatrics. She also conducted post-doctoral fellow research at the Cincinnati Children's Hospital Division of Oncology in brain developmental biology, neuro-stem cell and glial cells signaling and metabolism.</w:t>
      </w:r>
    </w:p>
    <w:p w:rsidR="007F4690" w:rsidRPr="00F70E6A" w:rsidRDefault="007F4690" w:rsidP="00F70E6A">
      <w:pPr>
        <w:pStyle w:val="Heading3"/>
        <w:spacing w:before="74"/>
        <w:rPr>
          <w:rFonts w:ascii="Tw Cen MT" w:eastAsia="Tw Cen MT" w:hAnsi="Tw Cen MT" w:cs="Tw Cen MT"/>
          <w:b w:val="0"/>
          <w:bCs w:val="0"/>
          <w:sz w:val="18"/>
          <w:szCs w:val="18"/>
        </w:rPr>
      </w:pPr>
    </w:p>
    <w:p w:rsidR="00AE3E37" w:rsidRPr="007F4690" w:rsidRDefault="00AE3E37">
      <w:pPr>
        <w:rPr>
          <w:sz w:val="18"/>
          <w:szCs w:val="18"/>
        </w:rPr>
        <w:sectPr w:rsidR="00AE3E37" w:rsidRPr="007F4690">
          <w:type w:val="continuous"/>
          <w:pgSz w:w="11910" w:h="16840"/>
          <w:pgMar w:top="1740" w:right="600" w:bottom="840" w:left="620" w:header="720" w:footer="720" w:gutter="0"/>
          <w:cols w:space="720"/>
        </w:sectPr>
      </w:pPr>
      <w:bookmarkStart w:id="0" w:name="_GoBack"/>
      <w:bookmarkEnd w:id="0"/>
    </w:p>
    <w:p w:rsidR="00AE3E37" w:rsidRPr="007F4690" w:rsidRDefault="00AE3E37">
      <w:pPr>
        <w:pStyle w:val="BodyText"/>
        <w:spacing w:before="3"/>
      </w:pPr>
    </w:p>
    <w:sectPr w:rsidR="00AE3E37" w:rsidRPr="007F469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FCF" w:rsidRDefault="002F7FCF">
      <w:r>
        <w:separator/>
      </w:r>
    </w:p>
  </w:endnote>
  <w:endnote w:type="continuationSeparator" w:id="0">
    <w:p w:rsidR="002F7FCF" w:rsidRDefault="002F7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FCF" w:rsidRDefault="002F7FCF">
      <w:r>
        <w:separator/>
      </w:r>
    </w:p>
  </w:footnote>
  <w:footnote w:type="continuationSeparator" w:id="0">
    <w:p w:rsidR="002F7FCF" w:rsidRDefault="002F7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6D12"/>
    <w:rsid w:val="001263DF"/>
    <w:rsid w:val="001A624B"/>
    <w:rsid w:val="001E763C"/>
    <w:rsid w:val="00292ED9"/>
    <w:rsid w:val="002F7FCF"/>
    <w:rsid w:val="00314AFB"/>
    <w:rsid w:val="003B76D9"/>
    <w:rsid w:val="00404E5B"/>
    <w:rsid w:val="00414F7B"/>
    <w:rsid w:val="004355DC"/>
    <w:rsid w:val="004749B4"/>
    <w:rsid w:val="00494130"/>
    <w:rsid w:val="004F3523"/>
    <w:rsid w:val="005973B9"/>
    <w:rsid w:val="005B3A56"/>
    <w:rsid w:val="006060CE"/>
    <w:rsid w:val="0063497F"/>
    <w:rsid w:val="0078738A"/>
    <w:rsid w:val="007F4690"/>
    <w:rsid w:val="00873DF0"/>
    <w:rsid w:val="008756E6"/>
    <w:rsid w:val="008B656E"/>
    <w:rsid w:val="009B2D44"/>
    <w:rsid w:val="00A07E82"/>
    <w:rsid w:val="00A9710C"/>
    <w:rsid w:val="00AE3E37"/>
    <w:rsid w:val="00B21A57"/>
    <w:rsid w:val="00C33602"/>
    <w:rsid w:val="00CD6F55"/>
    <w:rsid w:val="00D62425"/>
    <w:rsid w:val="00DE3104"/>
    <w:rsid w:val="00E24F42"/>
    <w:rsid w:val="00F70E6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D3CE1"/>
  <w15:docId w15:val="{D782A33A-42C5-4ECC-A505-3B8B074C4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F4690"/>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24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3755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Shabnam Pooya</cp:lastModifiedBy>
  <cp:revision>2</cp:revision>
  <dcterms:created xsi:type="dcterms:W3CDTF">2018-02-05T22:12:00Z</dcterms:created>
  <dcterms:modified xsi:type="dcterms:W3CDTF">2018-02-05T22:12:00Z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