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00F0A" w14:textId="77777777" w:rsidR="00983D08" w:rsidRDefault="00B662D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Haunted Hospital Simulation: an innovative way to identify patient room safety issues</w:t>
      </w:r>
    </w:p>
    <w:p w14:paraId="1DBDA523" w14:textId="77777777" w:rsidR="00983D08" w:rsidRDefault="00B662D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Sarah Obermeyer, Ph.D., CNM, NP &amp; Nicole Ringo, MSN/ED, RN</w:t>
      </w:r>
    </w:p>
    <w:p w14:paraId="0F74F387" w14:textId="77777777" w:rsidR="00983D08" w:rsidRDefault="00B662D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Azusa Pacific University</w:t>
      </w:r>
    </w:p>
    <w:p w14:paraId="14AF4448"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DB4783"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Introduction/background:</w:t>
      </w:r>
      <w:r>
        <w:rPr>
          <w:rFonts w:ascii="Times New Roman" w:eastAsia="Times New Roman" w:hAnsi="Times New Roman" w:cs="Times New Roman"/>
          <w:sz w:val="24"/>
          <w:szCs w:val="24"/>
        </w:rPr>
        <w:t xml:space="preserve"> Patient safety issues are of great concern and are key issues in preparation for National Council Licensure Examination (NCLEX) and clinical practice. Simulation experiences are ideal for integrating safety issues and nursing teaching students to be aware</w:t>
      </w:r>
      <w:r>
        <w:rPr>
          <w:rFonts w:ascii="Times New Roman" w:eastAsia="Times New Roman" w:hAnsi="Times New Roman" w:cs="Times New Roman"/>
          <w:sz w:val="24"/>
          <w:szCs w:val="24"/>
        </w:rPr>
        <w:t xml:space="preserve"> of potential conditions that may cause harm to patients (Bette </w:t>
      </w:r>
      <w:proofErr w:type="spellStart"/>
      <w:r>
        <w:rPr>
          <w:rFonts w:ascii="Times New Roman" w:eastAsia="Times New Roman" w:hAnsi="Times New Roman" w:cs="Times New Roman"/>
          <w:sz w:val="24"/>
          <w:szCs w:val="24"/>
        </w:rPr>
        <w:t>Mariani</w:t>
      </w:r>
      <w:proofErr w:type="spellEnd"/>
      <w:r>
        <w:rPr>
          <w:rFonts w:ascii="Times New Roman" w:eastAsia="Times New Roman" w:hAnsi="Times New Roman" w:cs="Times New Roman"/>
          <w:sz w:val="24"/>
          <w:szCs w:val="24"/>
        </w:rPr>
        <w:t xml:space="preserve">, B., Cantrell, M., </w:t>
      </w:r>
      <w:proofErr w:type="spellStart"/>
      <w:r>
        <w:rPr>
          <w:rFonts w:ascii="Times New Roman" w:eastAsia="Times New Roman" w:hAnsi="Times New Roman" w:cs="Times New Roman"/>
          <w:sz w:val="24"/>
          <w:szCs w:val="24"/>
        </w:rPr>
        <w:t>Meakim</w:t>
      </w:r>
      <w:proofErr w:type="spellEnd"/>
      <w:r>
        <w:rPr>
          <w:rFonts w:ascii="Times New Roman" w:eastAsia="Times New Roman" w:hAnsi="Times New Roman" w:cs="Times New Roman"/>
          <w:sz w:val="24"/>
          <w:szCs w:val="24"/>
        </w:rPr>
        <w:t xml:space="preserve">, C., Jenkinson, A. (2015)). </w:t>
      </w:r>
    </w:p>
    <w:p w14:paraId="51533FC2"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1C1E726" w14:textId="77777777" w:rsidR="00983D08" w:rsidRDefault="00B662D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Aims/Objectives:</w:t>
      </w:r>
    </w:p>
    <w:p w14:paraId="06CD3EFA" w14:textId="77777777" w:rsidR="00983D08" w:rsidRDefault="00B662D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To provide an innovative learning experience for nursing students focusing on NCLEX content related patient ro</w:t>
      </w:r>
      <w:r>
        <w:rPr>
          <w:rFonts w:ascii="Times New Roman" w:eastAsia="Times New Roman" w:hAnsi="Times New Roman" w:cs="Times New Roman"/>
          <w:sz w:val="24"/>
          <w:szCs w:val="24"/>
        </w:rPr>
        <w:t>om safety issues through Halloween-themed simulations.</w:t>
      </w:r>
    </w:p>
    <w:p w14:paraId="0AF5A9B5" w14:textId="77777777" w:rsidR="00983D08" w:rsidRDefault="00B662D2">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To promote interactive team learning with students in various levels of nursing education.</w:t>
      </w:r>
    </w:p>
    <w:p w14:paraId="0D7C47A9"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D5CA7A"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Methods: </w:t>
      </w:r>
      <w:r>
        <w:rPr>
          <w:rFonts w:ascii="Times New Roman" w:eastAsia="Times New Roman" w:hAnsi="Times New Roman" w:cs="Times New Roman"/>
          <w:sz w:val="24"/>
          <w:szCs w:val="24"/>
        </w:rPr>
        <w:t>Five simulation scenarios of various patient types and safety situations were developed to allow st</w:t>
      </w:r>
      <w:r>
        <w:rPr>
          <w:rFonts w:ascii="Times New Roman" w:eastAsia="Times New Roman" w:hAnsi="Times New Roman" w:cs="Times New Roman"/>
          <w:sz w:val="24"/>
          <w:szCs w:val="24"/>
        </w:rPr>
        <w:t>udents exploration of patient room safety issues. A Halloween theme that included decorates, music, treats, and gifts was carried throughout each simulation. A 25-item blank questionnaire directed students to identify five safety issues within each patient</w:t>
      </w:r>
      <w:r>
        <w:rPr>
          <w:rFonts w:ascii="Times New Roman" w:eastAsia="Times New Roman" w:hAnsi="Times New Roman" w:cs="Times New Roman"/>
          <w:sz w:val="24"/>
          <w:szCs w:val="24"/>
        </w:rPr>
        <w:t xml:space="preserve"> room and included three experiential questions to capture both qualitative and quantitative data.</w:t>
      </w:r>
    </w:p>
    <w:p w14:paraId="6BC5AA72"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28C8A2"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Outcomes:</w:t>
      </w:r>
      <w:r>
        <w:rPr>
          <w:rFonts w:ascii="Times New Roman" w:eastAsia="Times New Roman" w:hAnsi="Times New Roman" w:cs="Times New Roman"/>
          <w:sz w:val="24"/>
          <w:szCs w:val="24"/>
        </w:rPr>
        <w:t xml:space="preserve"> Students identified six main themes in their experience: 1) Look closely/be observant; 2) Survey of the room/environment is as important as the p</w:t>
      </w:r>
      <w:r>
        <w:rPr>
          <w:rFonts w:ascii="Times New Roman" w:eastAsia="Times New Roman" w:hAnsi="Times New Roman" w:cs="Times New Roman"/>
          <w:sz w:val="24"/>
          <w:szCs w:val="24"/>
        </w:rPr>
        <w:t>atient survey; 3) Checking patient identification; 4) Medication safety; 5) Dignity of patients, 6) Potential for anything to be hazardous.</w:t>
      </w:r>
    </w:p>
    <w:p w14:paraId="4CA5B403"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F7A3AC"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Conclusions:</w:t>
      </w:r>
      <w:r>
        <w:rPr>
          <w:rFonts w:ascii="Times New Roman" w:eastAsia="Times New Roman" w:hAnsi="Times New Roman" w:cs="Times New Roman"/>
          <w:sz w:val="24"/>
          <w:szCs w:val="24"/>
        </w:rPr>
        <w:t xml:space="preserve"> The knowledge gained from the Haunted Hospital Simulation provides evidence to drive the development </w:t>
      </w:r>
      <w:r>
        <w:rPr>
          <w:rFonts w:ascii="Times New Roman" w:eastAsia="Times New Roman" w:hAnsi="Times New Roman" w:cs="Times New Roman"/>
          <w:sz w:val="24"/>
          <w:szCs w:val="24"/>
        </w:rPr>
        <w:t>of creative and innovative simulation strategies. In the future, the development of holiday-themed simulations can provide a fun atmosphere for students to utilize critical thinking skills and determine potential environmental safety issues.</w:t>
      </w:r>
    </w:p>
    <w:p w14:paraId="364EA306"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1D0F719"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A42C5C"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469AB1" w14:textId="77777777" w:rsidR="00983D08" w:rsidRDefault="00983D08">
      <w:pPr>
        <w:rPr>
          <w:rFonts w:ascii="Times New Roman" w:eastAsia="Times New Roman" w:hAnsi="Times New Roman" w:cs="Times New Roman"/>
          <w:sz w:val="24"/>
          <w:szCs w:val="24"/>
        </w:rPr>
      </w:pPr>
    </w:p>
    <w:p w14:paraId="78A95DE7" w14:textId="77777777" w:rsidR="00983D08" w:rsidRDefault="00983D08">
      <w:pPr>
        <w:rPr>
          <w:rFonts w:ascii="Times New Roman" w:eastAsia="Times New Roman" w:hAnsi="Times New Roman" w:cs="Times New Roman"/>
          <w:sz w:val="24"/>
          <w:szCs w:val="24"/>
        </w:rPr>
      </w:pPr>
    </w:p>
    <w:p w14:paraId="14844C73" w14:textId="77777777" w:rsidR="00983D08" w:rsidRDefault="00983D08">
      <w:pPr>
        <w:rPr>
          <w:rFonts w:ascii="Times New Roman" w:eastAsia="Times New Roman" w:hAnsi="Times New Roman" w:cs="Times New Roman"/>
          <w:sz w:val="24"/>
          <w:szCs w:val="24"/>
        </w:rPr>
      </w:pPr>
    </w:p>
    <w:p w14:paraId="3275900D" w14:textId="77777777" w:rsidR="00983D08" w:rsidRDefault="00983D08">
      <w:pPr>
        <w:rPr>
          <w:rFonts w:ascii="Times New Roman" w:eastAsia="Times New Roman" w:hAnsi="Times New Roman" w:cs="Times New Roman"/>
          <w:sz w:val="24"/>
          <w:szCs w:val="24"/>
        </w:rPr>
      </w:pPr>
    </w:p>
    <w:p w14:paraId="63240602" w14:textId="77777777" w:rsidR="00983D08" w:rsidRDefault="00983D08">
      <w:pPr>
        <w:rPr>
          <w:rFonts w:ascii="Times New Roman" w:eastAsia="Times New Roman" w:hAnsi="Times New Roman" w:cs="Times New Roman"/>
          <w:sz w:val="24"/>
          <w:szCs w:val="24"/>
        </w:rPr>
      </w:pPr>
    </w:p>
    <w:p w14:paraId="780758E9" w14:textId="77777777" w:rsidR="00983D08" w:rsidRDefault="00983D08">
      <w:pPr>
        <w:rPr>
          <w:rFonts w:ascii="Times New Roman" w:eastAsia="Times New Roman" w:hAnsi="Times New Roman" w:cs="Times New Roman"/>
          <w:sz w:val="24"/>
          <w:szCs w:val="24"/>
        </w:rPr>
      </w:pPr>
    </w:p>
    <w:p w14:paraId="4CEAC8D9" w14:textId="77777777" w:rsidR="00983D08" w:rsidRDefault="00983D08">
      <w:pPr>
        <w:rPr>
          <w:rFonts w:ascii="Times New Roman" w:eastAsia="Times New Roman" w:hAnsi="Times New Roman" w:cs="Times New Roman"/>
          <w:sz w:val="24"/>
          <w:szCs w:val="24"/>
        </w:rPr>
      </w:pPr>
    </w:p>
    <w:p w14:paraId="6627FD61" w14:textId="77777777" w:rsidR="00983D08" w:rsidRDefault="00B662D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w:t>
      </w:r>
      <w:r>
        <w:rPr>
          <w:rFonts w:ascii="Times New Roman" w:eastAsia="Times New Roman" w:hAnsi="Times New Roman" w:cs="Times New Roman"/>
          <w:sz w:val="24"/>
          <w:szCs w:val="24"/>
        </w:rPr>
        <w:t>eferences</w:t>
      </w:r>
    </w:p>
    <w:p w14:paraId="27305632" w14:textId="77777777" w:rsidR="00983D08" w:rsidRDefault="00983D08">
      <w:pPr>
        <w:jc w:val="center"/>
        <w:rPr>
          <w:rFonts w:ascii="Times New Roman" w:eastAsia="Times New Roman" w:hAnsi="Times New Roman" w:cs="Times New Roman"/>
          <w:sz w:val="24"/>
          <w:szCs w:val="24"/>
        </w:rPr>
      </w:pPr>
    </w:p>
    <w:p w14:paraId="04677B7C" w14:textId="77777777" w:rsidR="00983D08" w:rsidRDefault="00B662D2" w:rsidP="00B662D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Bette </w:t>
      </w:r>
      <w:proofErr w:type="spellStart"/>
      <w:r>
        <w:rPr>
          <w:rFonts w:ascii="Times New Roman" w:eastAsia="Times New Roman" w:hAnsi="Times New Roman" w:cs="Times New Roman"/>
          <w:sz w:val="24"/>
          <w:szCs w:val="24"/>
        </w:rPr>
        <w:t>Mariani</w:t>
      </w:r>
      <w:proofErr w:type="spellEnd"/>
      <w:r>
        <w:rPr>
          <w:rFonts w:ascii="Times New Roman" w:eastAsia="Times New Roman" w:hAnsi="Times New Roman" w:cs="Times New Roman"/>
          <w:sz w:val="24"/>
          <w:szCs w:val="24"/>
        </w:rPr>
        <w:t xml:space="preserve">, B., Cantrell, M., </w:t>
      </w:r>
      <w:proofErr w:type="spellStart"/>
      <w:r>
        <w:rPr>
          <w:rFonts w:ascii="Times New Roman" w:eastAsia="Times New Roman" w:hAnsi="Times New Roman" w:cs="Times New Roman"/>
          <w:sz w:val="24"/>
          <w:szCs w:val="24"/>
        </w:rPr>
        <w:t>Meakim</w:t>
      </w:r>
      <w:proofErr w:type="spellEnd"/>
      <w:r>
        <w:rPr>
          <w:rFonts w:ascii="Times New Roman" w:eastAsia="Times New Roman" w:hAnsi="Times New Roman" w:cs="Times New Roman"/>
          <w:sz w:val="24"/>
          <w:szCs w:val="24"/>
        </w:rPr>
        <w:t>, C., Jenkinson, A. (2015). Improving students’ safety practice behaviors through a simulation-based learning experience</w:t>
      </w:r>
    </w:p>
    <w:p w14:paraId="10F8E3D2" w14:textId="77777777" w:rsidR="00983D08" w:rsidRDefault="00B662D2" w:rsidP="00B662D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
          <w:sz w:val="24"/>
          <w:szCs w:val="24"/>
        </w:rPr>
        <w:t>Journal of Nursing Education, 54</w:t>
      </w:r>
      <w:r>
        <w:rPr>
          <w:rFonts w:ascii="Times New Roman" w:eastAsia="Times New Roman" w:hAnsi="Times New Roman" w:cs="Times New Roman"/>
          <w:sz w:val="24"/>
          <w:szCs w:val="24"/>
        </w:rPr>
        <w:t>(3), p. S35-S38. doi:10.3928/01484834-20150218-05</w:t>
      </w:r>
    </w:p>
    <w:p w14:paraId="3748A35D" w14:textId="77777777" w:rsidR="00983D08" w:rsidRDefault="00B662D2" w:rsidP="00B662D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J &amp; Collins, G. (2015). Embedding simulated practice in a pre-registration nursing curriculum. </w:t>
      </w:r>
      <w:r>
        <w:rPr>
          <w:rFonts w:ascii="Times New Roman" w:eastAsia="Times New Roman" w:hAnsi="Times New Roman" w:cs="Times New Roman"/>
          <w:i/>
          <w:sz w:val="24"/>
          <w:szCs w:val="24"/>
        </w:rPr>
        <w:t>Primary Healthcare, 25</w:t>
      </w:r>
      <w:r>
        <w:rPr>
          <w:rFonts w:ascii="Times New Roman" w:eastAsia="Times New Roman" w:hAnsi="Times New Roman" w:cs="Times New Roman"/>
          <w:sz w:val="24"/>
          <w:szCs w:val="24"/>
        </w:rPr>
        <w:t>(4), p. 30-32. Retrieved from ProQuest November 14, 2017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8B009D6" w14:textId="77777777" w:rsidR="00983D08" w:rsidRPr="00B662D2" w:rsidRDefault="00B662D2" w:rsidP="00B662D2">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Eyikara</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Baykara</w:t>
      </w:r>
      <w:proofErr w:type="spellEnd"/>
      <w:r>
        <w:rPr>
          <w:rFonts w:ascii="Times New Roman" w:eastAsia="Times New Roman" w:hAnsi="Times New Roman" w:cs="Times New Roman"/>
          <w:sz w:val="24"/>
          <w:szCs w:val="24"/>
        </w:rPr>
        <w:t>, G., Z. (2017). The importance of simulation in</w:t>
      </w:r>
      <w:r>
        <w:rPr>
          <w:rFonts w:ascii="Times New Roman" w:eastAsia="Times New Roman" w:hAnsi="Times New Roman" w:cs="Times New Roman"/>
          <w:sz w:val="24"/>
          <w:szCs w:val="24"/>
        </w:rPr>
        <w:t xml:space="preserve"> nursing education. </w:t>
      </w:r>
      <w:r>
        <w:rPr>
          <w:rFonts w:ascii="Times New Roman" w:eastAsia="Times New Roman" w:hAnsi="Times New Roman" w:cs="Times New Roman"/>
          <w:i/>
          <w:sz w:val="24"/>
          <w:szCs w:val="24"/>
        </w:rPr>
        <w:t>World Journal on Educational Technology: Current Issues. 9</w:t>
      </w:r>
      <w:r>
        <w:rPr>
          <w:rFonts w:ascii="Times New Roman" w:eastAsia="Times New Roman" w:hAnsi="Times New Roman" w:cs="Times New Roman"/>
          <w:sz w:val="24"/>
          <w:szCs w:val="24"/>
        </w:rPr>
        <w:t xml:space="preserve">(1), p.2-7. </w:t>
      </w:r>
      <w:proofErr w:type="spellStart"/>
      <w:r>
        <w:rPr>
          <w:rFonts w:ascii="Times New Roman" w:eastAsia="Times New Roman" w:hAnsi="Times New Roman" w:cs="Times New Roman"/>
          <w:sz w:val="24"/>
          <w:szCs w:val="24"/>
        </w:rPr>
        <w:t>Doi</w:t>
      </w:r>
      <w:proofErr w:type="spellEnd"/>
      <w:r>
        <w:rPr>
          <w:rFonts w:ascii="Times New Roman" w:eastAsia="Times New Roman" w:hAnsi="Times New Roman" w:cs="Times New Roman"/>
          <w:sz w:val="24"/>
          <w:szCs w:val="24"/>
        </w:rPr>
        <w:t>: 10.18844/wjet.v9il.543</w:t>
      </w:r>
      <w:bookmarkStart w:id="0" w:name="_GoBack"/>
      <w:bookmarkEnd w:id="0"/>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4765BE5" w14:textId="77777777" w:rsidR="00983D08" w:rsidRDefault="00B662D2" w:rsidP="00B662D2">
      <w:pPr>
        <w:spacing w:after="160"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color w:val="333333"/>
          <w:sz w:val="24"/>
          <w:szCs w:val="24"/>
          <w:highlight w:val="white"/>
        </w:rPr>
        <w:t xml:space="preserve">Cheng, A., Grant, V., </w:t>
      </w:r>
      <w:proofErr w:type="spellStart"/>
      <w:r>
        <w:rPr>
          <w:rFonts w:ascii="Times New Roman" w:eastAsia="Times New Roman" w:hAnsi="Times New Roman" w:cs="Times New Roman"/>
          <w:color w:val="333333"/>
          <w:sz w:val="24"/>
          <w:szCs w:val="24"/>
          <w:highlight w:val="white"/>
        </w:rPr>
        <w:t>Dieckmann</w:t>
      </w:r>
      <w:proofErr w:type="spellEnd"/>
      <w:r>
        <w:rPr>
          <w:rFonts w:ascii="Times New Roman" w:eastAsia="Times New Roman" w:hAnsi="Times New Roman" w:cs="Times New Roman"/>
          <w:color w:val="333333"/>
          <w:sz w:val="24"/>
          <w:szCs w:val="24"/>
          <w:highlight w:val="white"/>
        </w:rPr>
        <w:t xml:space="preserve">, P., Arora, S., Robinson, T., &amp; </w:t>
      </w:r>
      <w:proofErr w:type="spellStart"/>
      <w:r>
        <w:rPr>
          <w:rFonts w:ascii="Times New Roman" w:eastAsia="Times New Roman" w:hAnsi="Times New Roman" w:cs="Times New Roman"/>
          <w:color w:val="333333"/>
          <w:sz w:val="24"/>
          <w:szCs w:val="24"/>
          <w:highlight w:val="white"/>
        </w:rPr>
        <w:t>Eppich</w:t>
      </w:r>
      <w:proofErr w:type="spellEnd"/>
      <w:r>
        <w:rPr>
          <w:rFonts w:ascii="Times New Roman" w:eastAsia="Times New Roman" w:hAnsi="Times New Roman" w:cs="Times New Roman"/>
          <w:color w:val="333333"/>
          <w:sz w:val="24"/>
          <w:szCs w:val="24"/>
          <w:highlight w:val="white"/>
        </w:rPr>
        <w:t xml:space="preserve">, W. (2015). </w:t>
      </w:r>
      <w:r>
        <w:rPr>
          <w:rFonts w:ascii="Times New Roman" w:eastAsia="Times New Roman" w:hAnsi="Times New Roman" w:cs="Times New Roman"/>
          <w:sz w:val="24"/>
          <w:szCs w:val="24"/>
          <w:highlight w:val="white"/>
        </w:rPr>
        <w:t xml:space="preserve">Faculty Development for Simulation Programs: Five Issues for the Future of Debriefing Training. </w:t>
      </w:r>
      <w:r>
        <w:rPr>
          <w:rFonts w:ascii="Times New Roman" w:eastAsia="Times New Roman" w:hAnsi="Times New Roman" w:cs="Times New Roman"/>
          <w:color w:val="3B3030"/>
          <w:sz w:val="24"/>
          <w:szCs w:val="24"/>
        </w:rPr>
        <w:t xml:space="preserve">The </w:t>
      </w:r>
      <w:r>
        <w:rPr>
          <w:rFonts w:ascii="Times New Roman" w:eastAsia="Times New Roman" w:hAnsi="Times New Roman" w:cs="Times New Roman"/>
          <w:i/>
          <w:color w:val="3B3030"/>
          <w:sz w:val="24"/>
          <w:szCs w:val="24"/>
        </w:rPr>
        <w:t>Journal of the Society for Simulation in Healthcare, 10</w:t>
      </w:r>
      <w:r>
        <w:rPr>
          <w:rFonts w:ascii="Times New Roman" w:eastAsia="Times New Roman" w:hAnsi="Times New Roman" w:cs="Times New Roman"/>
          <w:color w:val="3B3030"/>
          <w:sz w:val="24"/>
          <w:szCs w:val="24"/>
        </w:rPr>
        <w:t xml:space="preserve">(4), p. 217-222. </w:t>
      </w:r>
      <w:proofErr w:type="spellStart"/>
      <w:r>
        <w:rPr>
          <w:rFonts w:ascii="Times New Roman" w:eastAsia="Times New Roman" w:hAnsi="Times New Roman" w:cs="Times New Roman"/>
          <w:color w:val="3B3030"/>
          <w:sz w:val="24"/>
          <w:szCs w:val="24"/>
        </w:rPr>
        <w:t>doi</w:t>
      </w:r>
      <w:proofErr w:type="spellEnd"/>
      <w:r>
        <w:rPr>
          <w:rFonts w:ascii="Times New Roman" w:eastAsia="Times New Roman" w:hAnsi="Times New Roman" w:cs="Times New Roman"/>
          <w:color w:val="3B3030"/>
          <w:sz w:val="24"/>
          <w:szCs w:val="24"/>
        </w:rPr>
        <w:t>: 10.1097/SIH.0000000000000090</w:t>
      </w:r>
    </w:p>
    <w:p w14:paraId="1BB00B21" w14:textId="77777777" w:rsidR="00983D08" w:rsidRDefault="00B662D2" w:rsidP="00B662D2">
      <w:pPr>
        <w:spacing w:after="160" w:line="48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Cook, D.A., </w:t>
      </w:r>
      <w:proofErr w:type="spellStart"/>
      <w:r>
        <w:rPr>
          <w:rFonts w:ascii="Times New Roman" w:eastAsia="Times New Roman" w:hAnsi="Times New Roman" w:cs="Times New Roman"/>
          <w:color w:val="333333"/>
          <w:sz w:val="24"/>
          <w:szCs w:val="24"/>
          <w:highlight w:val="white"/>
        </w:rPr>
        <w:t>Hamstra</w:t>
      </w:r>
      <w:proofErr w:type="spellEnd"/>
      <w:r>
        <w:rPr>
          <w:rFonts w:ascii="Times New Roman" w:eastAsia="Times New Roman" w:hAnsi="Times New Roman" w:cs="Times New Roman"/>
          <w:color w:val="333333"/>
          <w:sz w:val="24"/>
          <w:szCs w:val="24"/>
          <w:highlight w:val="white"/>
        </w:rPr>
        <w:t xml:space="preserve">, S.J., </w:t>
      </w:r>
      <w:proofErr w:type="spellStart"/>
      <w:r>
        <w:rPr>
          <w:rFonts w:ascii="Times New Roman" w:eastAsia="Times New Roman" w:hAnsi="Times New Roman" w:cs="Times New Roman"/>
          <w:color w:val="333333"/>
          <w:sz w:val="24"/>
          <w:szCs w:val="24"/>
          <w:highlight w:val="white"/>
        </w:rPr>
        <w:t>Brydges</w:t>
      </w:r>
      <w:proofErr w:type="spellEnd"/>
      <w:r>
        <w:rPr>
          <w:rFonts w:ascii="Times New Roman" w:eastAsia="Times New Roman" w:hAnsi="Times New Roman" w:cs="Times New Roman"/>
          <w:color w:val="333333"/>
          <w:sz w:val="24"/>
          <w:szCs w:val="24"/>
          <w:highlight w:val="white"/>
        </w:rPr>
        <w:t xml:space="preserve">, R., </w:t>
      </w:r>
      <w:proofErr w:type="spellStart"/>
      <w:r>
        <w:rPr>
          <w:rFonts w:ascii="Times New Roman" w:eastAsia="Times New Roman" w:hAnsi="Times New Roman" w:cs="Times New Roman"/>
          <w:color w:val="333333"/>
          <w:sz w:val="24"/>
          <w:szCs w:val="24"/>
          <w:highlight w:val="white"/>
        </w:rPr>
        <w:t>Zendejas</w:t>
      </w:r>
      <w:proofErr w:type="spellEnd"/>
      <w:r>
        <w:rPr>
          <w:rFonts w:ascii="Times New Roman" w:eastAsia="Times New Roman" w:hAnsi="Times New Roman" w:cs="Times New Roman"/>
          <w:color w:val="333333"/>
          <w:sz w:val="24"/>
          <w:szCs w:val="24"/>
          <w:highlight w:val="white"/>
        </w:rPr>
        <w:t xml:space="preserve">, </w:t>
      </w:r>
      <w:r>
        <w:rPr>
          <w:rFonts w:ascii="Times New Roman" w:eastAsia="Times New Roman" w:hAnsi="Times New Roman" w:cs="Times New Roman"/>
          <w:color w:val="333333"/>
          <w:sz w:val="24"/>
          <w:szCs w:val="24"/>
          <w:highlight w:val="white"/>
        </w:rPr>
        <w:t xml:space="preserve">B., </w:t>
      </w:r>
      <w:proofErr w:type="spellStart"/>
      <w:r>
        <w:rPr>
          <w:rFonts w:ascii="Times New Roman" w:eastAsia="Times New Roman" w:hAnsi="Times New Roman" w:cs="Times New Roman"/>
          <w:color w:val="333333"/>
          <w:sz w:val="24"/>
          <w:szCs w:val="24"/>
          <w:highlight w:val="white"/>
        </w:rPr>
        <w:t>Szostek</w:t>
      </w:r>
      <w:proofErr w:type="spellEnd"/>
      <w:r>
        <w:rPr>
          <w:rFonts w:ascii="Times New Roman" w:eastAsia="Times New Roman" w:hAnsi="Times New Roman" w:cs="Times New Roman"/>
          <w:color w:val="333333"/>
          <w:sz w:val="24"/>
          <w:szCs w:val="24"/>
          <w:highlight w:val="white"/>
        </w:rPr>
        <w:t xml:space="preserve">, J.H., Wang, A.T., Erwin, P.J., &amp; </w:t>
      </w:r>
      <w:proofErr w:type="spellStart"/>
      <w:r>
        <w:rPr>
          <w:rFonts w:ascii="Times New Roman" w:eastAsia="Times New Roman" w:hAnsi="Times New Roman" w:cs="Times New Roman"/>
          <w:color w:val="333333"/>
          <w:sz w:val="24"/>
          <w:szCs w:val="24"/>
          <w:highlight w:val="white"/>
        </w:rPr>
        <w:t>Hatala</w:t>
      </w:r>
      <w:proofErr w:type="spellEnd"/>
      <w:r>
        <w:rPr>
          <w:rFonts w:ascii="Times New Roman" w:eastAsia="Times New Roman" w:hAnsi="Times New Roman" w:cs="Times New Roman"/>
          <w:color w:val="333333"/>
          <w:sz w:val="24"/>
          <w:szCs w:val="24"/>
          <w:highlight w:val="white"/>
        </w:rPr>
        <w:t xml:space="preserve">, R. (2013). Comparative effectiveness of instructional design features in simulation-based education: systematic review and meta-analysis. </w:t>
      </w:r>
      <w:r>
        <w:rPr>
          <w:rFonts w:ascii="Times New Roman" w:eastAsia="Times New Roman" w:hAnsi="Times New Roman" w:cs="Times New Roman"/>
          <w:i/>
          <w:color w:val="333333"/>
          <w:sz w:val="24"/>
          <w:szCs w:val="24"/>
          <w:highlight w:val="white"/>
        </w:rPr>
        <w:t>Medical Teacher, 35</w:t>
      </w:r>
      <w:r>
        <w:rPr>
          <w:rFonts w:ascii="Times New Roman" w:eastAsia="Times New Roman" w:hAnsi="Times New Roman" w:cs="Times New Roman"/>
          <w:color w:val="333333"/>
          <w:sz w:val="24"/>
          <w:szCs w:val="24"/>
          <w:highlight w:val="white"/>
        </w:rPr>
        <w:t xml:space="preserve">(1), p. 867-898. </w:t>
      </w:r>
      <w:proofErr w:type="spellStart"/>
      <w:r>
        <w:rPr>
          <w:rFonts w:ascii="Times New Roman" w:eastAsia="Times New Roman" w:hAnsi="Times New Roman" w:cs="Times New Roman"/>
          <w:color w:val="333333"/>
          <w:sz w:val="24"/>
          <w:szCs w:val="24"/>
          <w:highlight w:val="white"/>
        </w:rPr>
        <w:t>Doi</w:t>
      </w:r>
      <w:proofErr w:type="spellEnd"/>
      <w:r>
        <w:rPr>
          <w:rFonts w:ascii="Times New Roman" w:eastAsia="Times New Roman" w:hAnsi="Times New Roman" w:cs="Times New Roman"/>
          <w:color w:val="333333"/>
          <w:sz w:val="24"/>
          <w:szCs w:val="24"/>
          <w:highlight w:val="white"/>
        </w:rPr>
        <w:t>: 10.3109/0142159X.2012.7</w:t>
      </w:r>
      <w:r>
        <w:rPr>
          <w:rFonts w:ascii="Times New Roman" w:eastAsia="Times New Roman" w:hAnsi="Times New Roman" w:cs="Times New Roman"/>
          <w:color w:val="333333"/>
          <w:sz w:val="24"/>
          <w:szCs w:val="24"/>
          <w:highlight w:val="white"/>
        </w:rPr>
        <w:t xml:space="preserve">14886              </w:t>
      </w:r>
    </w:p>
    <w:p w14:paraId="4BA7A789" w14:textId="77777777" w:rsidR="00983D08" w:rsidRDefault="00983D08">
      <w:pPr>
        <w:spacing w:after="160" w:line="360" w:lineRule="auto"/>
        <w:rPr>
          <w:rFonts w:ascii="Times New Roman" w:eastAsia="Times New Roman" w:hAnsi="Times New Roman" w:cs="Times New Roman"/>
          <w:color w:val="333333"/>
          <w:sz w:val="24"/>
          <w:szCs w:val="24"/>
          <w:highlight w:val="white"/>
        </w:rPr>
      </w:pPr>
    </w:p>
    <w:p w14:paraId="79D31599" w14:textId="77777777" w:rsidR="00983D08" w:rsidRDefault="00983D08">
      <w:pPr>
        <w:spacing w:after="160" w:line="360" w:lineRule="auto"/>
        <w:rPr>
          <w:rFonts w:ascii="Times New Roman" w:eastAsia="Times New Roman" w:hAnsi="Times New Roman" w:cs="Times New Roman"/>
          <w:color w:val="333333"/>
          <w:sz w:val="24"/>
          <w:szCs w:val="24"/>
          <w:highlight w:val="white"/>
        </w:rPr>
      </w:pPr>
    </w:p>
    <w:p w14:paraId="31F07ED3"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23E4263" w14:textId="77777777" w:rsidR="00983D08" w:rsidRDefault="00B662D2">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985B2B8" w14:textId="77777777" w:rsidR="00983D08" w:rsidRDefault="00983D08">
      <w:pPr>
        <w:rPr>
          <w:rFonts w:ascii="Times New Roman" w:eastAsia="Times New Roman" w:hAnsi="Times New Roman" w:cs="Times New Roman"/>
          <w:sz w:val="24"/>
          <w:szCs w:val="24"/>
        </w:rPr>
      </w:pPr>
    </w:p>
    <w:sectPr w:rsidR="00983D0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74364"/>
    <w:multiLevelType w:val="multilevel"/>
    <w:tmpl w:val="2FD0A2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4"/>
  </w:compat>
  <w:rsids>
    <w:rsidRoot w:val="00983D08"/>
    <w:rsid w:val="00983D08"/>
    <w:rsid w:val="00B662D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530AC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2759</Characters>
  <Application>Microsoft Macintosh Word</Application>
  <DocSecurity>0</DocSecurity>
  <Lines>22</Lines>
  <Paragraphs>6</Paragraphs>
  <ScaleCrop>false</ScaleCrop>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Ringo</cp:lastModifiedBy>
  <cp:revision>2</cp:revision>
  <dcterms:created xsi:type="dcterms:W3CDTF">2017-11-17T06:07:00Z</dcterms:created>
  <dcterms:modified xsi:type="dcterms:W3CDTF">2017-11-17T06:07:00Z</dcterms:modified>
</cp:coreProperties>
</file>