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1AAA" w:rsidRPr="00820FC0" w:rsidRDefault="00800536">
      <w:pPr>
        <w:rPr>
          <w:rFonts w:cstheme="minorHAnsi"/>
          <w:sz w:val="24"/>
          <w:szCs w:val="24"/>
        </w:rPr>
      </w:pPr>
      <w:bookmarkStart w:id="0" w:name="_GoBack"/>
      <w:bookmarkEnd w:id="0"/>
      <w:r>
        <w:rPr>
          <w:rFonts w:cstheme="minorHAnsi"/>
          <w:sz w:val="24"/>
          <w:szCs w:val="24"/>
        </w:rPr>
        <w:t>A Botulism Mass Casualty Incident:  Nursing Imperatives</w:t>
      </w:r>
    </w:p>
    <w:p w:rsidR="00781AAA" w:rsidRPr="00820FC0" w:rsidRDefault="00781AAA">
      <w:pPr>
        <w:rPr>
          <w:rFonts w:cstheme="minorHAnsi"/>
          <w:sz w:val="24"/>
          <w:szCs w:val="24"/>
        </w:rPr>
      </w:pPr>
      <w:r w:rsidRPr="00820FC0">
        <w:rPr>
          <w:rFonts w:cstheme="minorHAnsi"/>
          <w:sz w:val="24"/>
          <w:szCs w:val="24"/>
        </w:rPr>
        <w:t>Paul Rega MD, FACEP; Assistant Professor, School of Population Health and the Department of Emergency Medicine, University of Toledo</w:t>
      </w:r>
    </w:p>
    <w:p w:rsidR="00781AAA" w:rsidRPr="00820FC0" w:rsidRDefault="00781AAA">
      <w:pPr>
        <w:rPr>
          <w:rFonts w:cstheme="minorHAnsi"/>
          <w:sz w:val="24"/>
          <w:szCs w:val="24"/>
        </w:rPr>
      </w:pPr>
    </w:p>
    <w:p w:rsidR="008D5EC7" w:rsidRPr="00820FC0" w:rsidRDefault="00781AAA">
      <w:pPr>
        <w:rPr>
          <w:rFonts w:cstheme="minorHAnsi"/>
          <w:sz w:val="24"/>
          <w:szCs w:val="24"/>
        </w:rPr>
      </w:pPr>
      <w:r w:rsidRPr="00820FC0">
        <w:rPr>
          <w:rFonts w:cstheme="minorHAnsi"/>
          <w:sz w:val="24"/>
          <w:szCs w:val="24"/>
        </w:rPr>
        <w:t xml:space="preserve">Statement of the problem:  </w:t>
      </w:r>
      <w:r w:rsidR="00800536">
        <w:rPr>
          <w:rFonts w:cstheme="minorHAnsi"/>
          <w:sz w:val="24"/>
          <w:szCs w:val="24"/>
        </w:rPr>
        <w:t xml:space="preserve">Botulism is a Category A bioterrorist agent according to the CDC.  However, a comprehensive knowledge of the manifestations, therapy, and short-and long-term management of the botulism patient is lacking in U.S. medical and nursing circles.  Additionally, the management of multiple botulism patients in terms of assessing criticality and prioritizing treatment and transport of multiple patients with inadequate resources is rarely addressed. </w:t>
      </w:r>
    </w:p>
    <w:p w:rsidR="008D5EC7" w:rsidRPr="00820FC0" w:rsidRDefault="00781AAA">
      <w:pPr>
        <w:rPr>
          <w:rFonts w:cstheme="minorHAnsi"/>
          <w:sz w:val="24"/>
          <w:szCs w:val="24"/>
        </w:rPr>
      </w:pPr>
      <w:r w:rsidRPr="00820FC0">
        <w:rPr>
          <w:rFonts w:cstheme="minorHAnsi"/>
          <w:sz w:val="24"/>
          <w:szCs w:val="24"/>
        </w:rPr>
        <w:t>Methodology &amp; Theoretical Orientation:</w:t>
      </w:r>
      <w:r w:rsidR="00E0700B" w:rsidRPr="00820FC0">
        <w:rPr>
          <w:rFonts w:cstheme="minorHAnsi"/>
          <w:sz w:val="24"/>
          <w:szCs w:val="24"/>
        </w:rPr>
        <w:t xml:space="preserve">  </w:t>
      </w:r>
      <w:r w:rsidR="00800536">
        <w:rPr>
          <w:rFonts w:cstheme="minorHAnsi"/>
          <w:sz w:val="24"/>
          <w:szCs w:val="24"/>
        </w:rPr>
        <w:t xml:space="preserve">The learner will learn the pathophysiology and clinical manifestations of botulism as well as the acute and long-term management of a botulism patient.  </w:t>
      </w:r>
      <w:r w:rsidR="00822D7C">
        <w:rPr>
          <w:rFonts w:cstheme="minorHAnsi"/>
          <w:sz w:val="24"/>
          <w:szCs w:val="24"/>
        </w:rPr>
        <w:t>Subsequently, a table-top exercise and/or drill will address strategic and tactical options when emergency nurses are confronted with</w:t>
      </w:r>
      <w:r w:rsidR="007C0895">
        <w:rPr>
          <w:rFonts w:cstheme="minorHAnsi"/>
          <w:sz w:val="24"/>
          <w:szCs w:val="24"/>
        </w:rPr>
        <w:t xml:space="preserve"> multiple botulism victims.  The similarities and differences between an intentional botulism outbreak and an accidental botulism outbreak will be explored.</w:t>
      </w:r>
    </w:p>
    <w:p w:rsidR="00781AAA" w:rsidRPr="00820FC0" w:rsidRDefault="00781AAA">
      <w:pPr>
        <w:rPr>
          <w:rFonts w:cstheme="minorHAnsi"/>
          <w:sz w:val="24"/>
          <w:szCs w:val="24"/>
        </w:rPr>
      </w:pPr>
      <w:r w:rsidRPr="00820FC0">
        <w:rPr>
          <w:rFonts w:cstheme="minorHAnsi"/>
          <w:sz w:val="24"/>
          <w:szCs w:val="24"/>
        </w:rPr>
        <w:t>Findings:</w:t>
      </w:r>
      <w:r w:rsidR="00A9776E" w:rsidRPr="00820FC0">
        <w:rPr>
          <w:rFonts w:cstheme="minorHAnsi"/>
          <w:sz w:val="24"/>
          <w:szCs w:val="24"/>
        </w:rPr>
        <w:t xml:space="preserve">  </w:t>
      </w:r>
      <w:r w:rsidR="007C0895">
        <w:rPr>
          <w:rFonts w:cstheme="minorHAnsi"/>
          <w:sz w:val="24"/>
          <w:szCs w:val="24"/>
        </w:rPr>
        <w:t>Using case-based simulation and table-top exercises, the learner will have a better perspective about botulism, its manifestations, its management, and the triaging of and resource management for multiple patients.</w:t>
      </w:r>
    </w:p>
    <w:p w:rsidR="00781AAA" w:rsidRPr="00820FC0" w:rsidRDefault="00781AAA">
      <w:pPr>
        <w:rPr>
          <w:rFonts w:cstheme="minorHAnsi"/>
          <w:sz w:val="24"/>
          <w:szCs w:val="24"/>
        </w:rPr>
      </w:pPr>
      <w:r w:rsidRPr="00820FC0">
        <w:rPr>
          <w:rFonts w:cstheme="minorHAnsi"/>
          <w:sz w:val="24"/>
          <w:szCs w:val="24"/>
        </w:rPr>
        <w:t>Conclusion &amp; Significance:</w:t>
      </w:r>
      <w:r w:rsidR="00E340FE" w:rsidRPr="00820FC0">
        <w:rPr>
          <w:rFonts w:cstheme="minorHAnsi"/>
          <w:sz w:val="24"/>
          <w:szCs w:val="24"/>
        </w:rPr>
        <w:t xml:space="preserve">  </w:t>
      </w:r>
      <w:r w:rsidR="007C0895">
        <w:rPr>
          <w:rFonts w:cstheme="minorHAnsi"/>
          <w:sz w:val="24"/>
          <w:szCs w:val="24"/>
        </w:rPr>
        <w:t>Botulism is a disease that is rarely taught and planned for in the USA despite it</w:t>
      </w:r>
      <w:r w:rsidR="00B67E73">
        <w:rPr>
          <w:rFonts w:cstheme="minorHAnsi"/>
          <w:sz w:val="24"/>
          <w:szCs w:val="24"/>
        </w:rPr>
        <w:t>s</w:t>
      </w:r>
      <w:r w:rsidR="007C0895">
        <w:rPr>
          <w:rFonts w:cstheme="minorHAnsi"/>
          <w:sz w:val="24"/>
          <w:szCs w:val="24"/>
        </w:rPr>
        <w:t xml:space="preserve"> </w:t>
      </w:r>
      <w:r w:rsidR="00B67E73">
        <w:rPr>
          <w:rFonts w:cstheme="minorHAnsi"/>
          <w:sz w:val="24"/>
          <w:szCs w:val="24"/>
        </w:rPr>
        <w:t xml:space="preserve">placement as </w:t>
      </w:r>
      <w:r w:rsidR="007C0895">
        <w:rPr>
          <w:rFonts w:cstheme="minorHAnsi"/>
          <w:sz w:val="24"/>
          <w:szCs w:val="24"/>
        </w:rPr>
        <w:t xml:space="preserve">a Category A bioterror agent.  </w:t>
      </w:r>
      <w:r w:rsidR="00B67E73">
        <w:rPr>
          <w:rFonts w:cstheme="minorHAnsi"/>
          <w:sz w:val="24"/>
          <w:szCs w:val="24"/>
        </w:rPr>
        <w:t>Providing emergency and critical nurses a thorough background in the short- and long-term characteristics of this disease will prove valuable if ever they are confronted with a mass casualty incident.</w:t>
      </w:r>
    </w:p>
    <w:p w:rsidR="0023222F" w:rsidRPr="00820FC0" w:rsidRDefault="0023222F">
      <w:pPr>
        <w:rPr>
          <w:rFonts w:cstheme="minorHAnsi"/>
          <w:sz w:val="24"/>
          <w:szCs w:val="24"/>
        </w:rPr>
      </w:pPr>
      <w:r w:rsidRPr="00820FC0">
        <w:rPr>
          <w:rFonts w:cstheme="minorHAnsi"/>
          <w:sz w:val="24"/>
          <w:szCs w:val="24"/>
        </w:rPr>
        <w:t>Recent Publications</w:t>
      </w:r>
    </w:p>
    <w:p w:rsidR="00B67E73" w:rsidRPr="00B67E73" w:rsidRDefault="00B67E73" w:rsidP="00B67E73">
      <w:pPr>
        <w:pStyle w:val="desc2"/>
        <w:numPr>
          <w:ilvl w:val="0"/>
          <w:numId w:val="7"/>
        </w:numPr>
        <w:shd w:val="clear" w:color="auto" w:fill="FFFFFF"/>
        <w:rPr>
          <w:rFonts w:asciiTheme="minorHAnsi" w:hAnsiTheme="minorHAnsi" w:cstheme="minorHAnsi"/>
          <w:sz w:val="24"/>
          <w:szCs w:val="24"/>
        </w:rPr>
      </w:pPr>
      <w:r w:rsidRPr="00B67E73">
        <w:rPr>
          <w:rFonts w:asciiTheme="minorHAnsi" w:hAnsiTheme="minorHAnsi" w:cstheme="minorHAnsi"/>
          <w:sz w:val="24"/>
          <w:szCs w:val="24"/>
        </w:rPr>
        <w:t xml:space="preserve">Bork CE, </w:t>
      </w:r>
      <w:r w:rsidRPr="00B67E73">
        <w:rPr>
          <w:rFonts w:asciiTheme="minorHAnsi" w:hAnsiTheme="minorHAnsi" w:cstheme="minorHAnsi"/>
          <w:bCs/>
          <w:sz w:val="24"/>
          <w:szCs w:val="24"/>
        </w:rPr>
        <w:t>Rega PP</w:t>
      </w:r>
      <w:r w:rsidRPr="00B67E73">
        <w:rPr>
          <w:rFonts w:asciiTheme="minorHAnsi" w:hAnsiTheme="minorHAnsi" w:cstheme="minorHAnsi"/>
          <w:sz w:val="24"/>
          <w:szCs w:val="24"/>
        </w:rPr>
        <w:t>.</w:t>
      </w:r>
      <w:r w:rsidRPr="00B67E73">
        <w:rPr>
          <w:rFonts w:asciiTheme="minorHAnsi" w:hAnsiTheme="minorHAnsi" w:cstheme="minorHAnsi"/>
          <w:sz w:val="24"/>
          <w:szCs w:val="24"/>
        </w:rPr>
        <w:t xml:space="preserve">  </w:t>
      </w:r>
      <w:hyperlink r:id="rId5" w:history="1">
        <w:r w:rsidRPr="00B67E73">
          <w:rPr>
            <w:rFonts w:asciiTheme="minorHAnsi" w:hAnsiTheme="minorHAnsi" w:cstheme="minorHAnsi"/>
            <w:sz w:val="24"/>
            <w:szCs w:val="24"/>
          </w:rPr>
          <w:t>An assessment of nurses' knowledge of botulism.</w:t>
        </w:r>
      </w:hyperlink>
      <w:r w:rsidRPr="00B67E73">
        <w:rPr>
          <w:rFonts w:asciiTheme="minorHAnsi" w:hAnsiTheme="minorHAnsi" w:cstheme="minorHAnsi"/>
          <w:sz w:val="24"/>
          <w:szCs w:val="24"/>
        </w:rPr>
        <w:t xml:space="preserve">  </w:t>
      </w:r>
      <w:r w:rsidRPr="00B67E73">
        <w:rPr>
          <w:rStyle w:val="jrnl"/>
          <w:rFonts w:asciiTheme="minorHAnsi" w:hAnsiTheme="minorHAnsi" w:cstheme="minorHAnsi"/>
          <w:sz w:val="24"/>
          <w:szCs w:val="24"/>
        </w:rPr>
        <w:t xml:space="preserve">Public Health </w:t>
      </w:r>
      <w:proofErr w:type="spellStart"/>
      <w:r w:rsidRPr="00B67E73">
        <w:rPr>
          <w:rStyle w:val="jrnl"/>
          <w:rFonts w:asciiTheme="minorHAnsi" w:hAnsiTheme="minorHAnsi" w:cstheme="minorHAnsi"/>
          <w:sz w:val="24"/>
          <w:szCs w:val="24"/>
        </w:rPr>
        <w:t>Nurs</w:t>
      </w:r>
      <w:proofErr w:type="spellEnd"/>
      <w:r w:rsidRPr="00B67E73">
        <w:rPr>
          <w:rFonts w:asciiTheme="minorHAnsi" w:hAnsiTheme="minorHAnsi" w:cstheme="minorHAnsi"/>
          <w:sz w:val="24"/>
          <w:szCs w:val="24"/>
        </w:rPr>
        <w:t>. 2012 Mar-Apr;29(2):168-74</w:t>
      </w:r>
      <w:r w:rsidRPr="00B67E73">
        <w:rPr>
          <w:rFonts w:asciiTheme="minorHAnsi" w:hAnsiTheme="minorHAnsi" w:cstheme="minorHAnsi"/>
          <w:sz w:val="24"/>
          <w:szCs w:val="24"/>
        </w:rPr>
        <w:t>.</w:t>
      </w:r>
    </w:p>
    <w:p w:rsidR="00B67E73" w:rsidRPr="00B67E73" w:rsidRDefault="00B67E73" w:rsidP="00B67E73">
      <w:pPr>
        <w:pStyle w:val="desc2"/>
        <w:numPr>
          <w:ilvl w:val="0"/>
          <w:numId w:val="7"/>
        </w:numPr>
        <w:shd w:val="clear" w:color="auto" w:fill="FFFFFF"/>
        <w:rPr>
          <w:rFonts w:asciiTheme="minorHAnsi" w:hAnsiTheme="minorHAnsi" w:cstheme="minorHAnsi"/>
          <w:sz w:val="24"/>
          <w:szCs w:val="24"/>
        </w:rPr>
      </w:pPr>
      <w:r w:rsidRPr="00B67E73">
        <w:rPr>
          <w:rFonts w:asciiTheme="minorHAnsi" w:hAnsiTheme="minorHAnsi" w:cstheme="minorHAnsi"/>
          <w:bCs/>
          <w:sz w:val="24"/>
          <w:szCs w:val="24"/>
        </w:rPr>
        <w:t>Rega PP</w:t>
      </w:r>
      <w:r w:rsidRPr="00B67E73">
        <w:rPr>
          <w:rFonts w:asciiTheme="minorHAnsi" w:hAnsiTheme="minorHAnsi" w:cstheme="minorHAnsi"/>
          <w:sz w:val="24"/>
          <w:szCs w:val="24"/>
        </w:rPr>
        <w:t xml:space="preserve">, Bork CE, Burkholder-Allen K, </w:t>
      </w:r>
      <w:proofErr w:type="spellStart"/>
      <w:r w:rsidRPr="00B67E73">
        <w:rPr>
          <w:rFonts w:asciiTheme="minorHAnsi" w:hAnsiTheme="minorHAnsi" w:cstheme="minorHAnsi"/>
          <w:sz w:val="24"/>
          <w:szCs w:val="24"/>
        </w:rPr>
        <w:t>Bisesi</w:t>
      </w:r>
      <w:proofErr w:type="spellEnd"/>
      <w:r w:rsidRPr="00B67E73">
        <w:rPr>
          <w:rFonts w:asciiTheme="minorHAnsi" w:hAnsiTheme="minorHAnsi" w:cstheme="minorHAnsi"/>
          <w:sz w:val="24"/>
          <w:szCs w:val="24"/>
        </w:rPr>
        <w:t xml:space="preserve"> MS, Gold JP.</w:t>
      </w:r>
      <w:r w:rsidRPr="00B67E73">
        <w:rPr>
          <w:rFonts w:asciiTheme="minorHAnsi" w:hAnsiTheme="minorHAnsi" w:cstheme="minorHAnsi"/>
          <w:sz w:val="24"/>
          <w:szCs w:val="24"/>
        </w:rPr>
        <w:t xml:space="preserve">  </w:t>
      </w:r>
      <w:hyperlink r:id="rId6" w:history="1">
        <w:r w:rsidRPr="00B67E73">
          <w:rPr>
            <w:rFonts w:asciiTheme="minorHAnsi" w:hAnsiTheme="minorHAnsi" w:cstheme="minorHAnsi"/>
            <w:sz w:val="24"/>
            <w:szCs w:val="24"/>
          </w:rPr>
          <w:t>Single-Breath-Count Test: an important adjunct in the triaging of patients in a mass-casualty incident due to botulism.</w:t>
        </w:r>
      </w:hyperlink>
      <w:r w:rsidRPr="00B67E73">
        <w:rPr>
          <w:rFonts w:asciiTheme="minorHAnsi" w:hAnsiTheme="minorHAnsi" w:cstheme="minorHAnsi"/>
          <w:sz w:val="24"/>
          <w:szCs w:val="24"/>
        </w:rPr>
        <w:t xml:space="preserve">  </w:t>
      </w:r>
      <w:proofErr w:type="spellStart"/>
      <w:r w:rsidRPr="00B67E73">
        <w:rPr>
          <w:rStyle w:val="jrnl"/>
          <w:rFonts w:asciiTheme="minorHAnsi" w:hAnsiTheme="minorHAnsi" w:cstheme="minorHAnsi"/>
          <w:sz w:val="24"/>
          <w:szCs w:val="24"/>
        </w:rPr>
        <w:t>Prehosp</w:t>
      </w:r>
      <w:proofErr w:type="spellEnd"/>
      <w:r w:rsidRPr="00B67E73">
        <w:rPr>
          <w:rStyle w:val="jrnl"/>
          <w:rFonts w:asciiTheme="minorHAnsi" w:hAnsiTheme="minorHAnsi" w:cstheme="minorHAnsi"/>
          <w:sz w:val="24"/>
          <w:szCs w:val="24"/>
        </w:rPr>
        <w:t xml:space="preserve"> Disaster Med</w:t>
      </w:r>
      <w:r w:rsidRPr="00B67E73">
        <w:rPr>
          <w:rFonts w:asciiTheme="minorHAnsi" w:hAnsiTheme="minorHAnsi" w:cstheme="minorHAnsi"/>
          <w:sz w:val="24"/>
          <w:szCs w:val="24"/>
        </w:rPr>
        <w:t>. 2010 May-Jun;25(3):219-22</w:t>
      </w:r>
      <w:r w:rsidRPr="00B67E73">
        <w:rPr>
          <w:rFonts w:asciiTheme="minorHAnsi" w:hAnsiTheme="minorHAnsi" w:cstheme="minorHAnsi"/>
          <w:sz w:val="24"/>
          <w:szCs w:val="24"/>
        </w:rPr>
        <w:t>.</w:t>
      </w:r>
    </w:p>
    <w:p w:rsidR="00B67E73" w:rsidRPr="00B67E73" w:rsidRDefault="00B67E73" w:rsidP="00B67E73">
      <w:pPr>
        <w:pStyle w:val="desc2"/>
        <w:numPr>
          <w:ilvl w:val="0"/>
          <w:numId w:val="7"/>
        </w:numPr>
        <w:shd w:val="clear" w:color="auto" w:fill="FFFFFF"/>
        <w:rPr>
          <w:rFonts w:asciiTheme="minorHAnsi" w:hAnsiTheme="minorHAnsi" w:cstheme="minorHAnsi"/>
          <w:sz w:val="24"/>
          <w:szCs w:val="24"/>
        </w:rPr>
      </w:pPr>
      <w:r w:rsidRPr="00B67E73">
        <w:rPr>
          <w:rFonts w:asciiTheme="minorHAnsi" w:hAnsiTheme="minorHAnsi" w:cstheme="minorHAnsi"/>
          <w:sz w:val="24"/>
          <w:szCs w:val="24"/>
        </w:rPr>
        <w:t xml:space="preserve">Van </w:t>
      </w:r>
      <w:proofErr w:type="spellStart"/>
      <w:r w:rsidRPr="00B67E73">
        <w:rPr>
          <w:rFonts w:asciiTheme="minorHAnsi" w:hAnsiTheme="minorHAnsi" w:cstheme="minorHAnsi"/>
          <w:sz w:val="24"/>
          <w:szCs w:val="24"/>
        </w:rPr>
        <w:t>Rynen</w:t>
      </w:r>
      <w:proofErr w:type="spellEnd"/>
      <w:r w:rsidRPr="00B67E73">
        <w:rPr>
          <w:rFonts w:asciiTheme="minorHAnsi" w:hAnsiTheme="minorHAnsi" w:cstheme="minorHAnsi"/>
          <w:sz w:val="24"/>
          <w:szCs w:val="24"/>
        </w:rPr>
        <w:t xml:space="preserve"> JL, </w:t>
      </w:r>
      <w:r w:rsidRPr="00B67E73">
        <w:rPr>
          <w:rFonts w:asciiTheme="minorHAnsi" w:hAnsiTheme="minorHAnsi" w:cstheme="minorHAnsi"/>
          <w:bCs/>
          <w:sz w:val="24"/>
          <w:szCs w:val="24"/>
        </w:rPr>
        <w:t>Rega PP</w:t>
      </w:r>
      <w:r w:rsidRPr="00B67E73">
        <w:rPr>
          <w:rFonts w:asciiTheme="minorHAnsi" w:hAnsiTheme="minorHAnsi" w:cstheme="minorHAnsi"/>
          <w:sz w:val="24"/>
          <w:szCs w:val="24"/>
        </w:rPr>
        <w:t>, Budd C, Burkholder-Allen KJ.</w:t>
      </w:r>
      <w:r w:rsidRPr="00B67E73">
        <w:rPr>
          <w:rFonts w:asciiTheme="minorHAnsi" w:hAnsiTheme="minorHAnsi" w:cstheme="minorHAnsi"/>
          <w:sz w:val="24"/>
          <w:szCs w:val="24"/>
        </w:rPr>
        <w:t xml:space="preserve">  </w:t>
      </w:r>
      <w:hyperlink r:id="rId7" w:history="1">
        <w:r w:rsidRPr="00B67E73">
          <w:rPr>
            <w:rFonts w:asciiTheme="minorHAnsi" w:hAnsiTheme="minorHAnsi" w:cstheme="minorHAnsi"/>
            <w:sz w:val="24"/>
            <w:szCs w:val="24"/>
          </w:rPr>
          <w:t>The use of negative inspiratory force by ED personnel to monitor respiratory deterioration in the event of a botulism-induced MCI.</w:t>
        </w:r>
      </w:hyperlink>
      <w:r w:rsidRPr="00B67E73">
        <w:rPr>
          <w:rFonts w:asciiTheme="minorHAnsi" w:hAnsiTheme="minorHAnsi" w:cstheme="minorHAnsi"/>
          <w:sz w:val="24"/>
          <w:szCs w:val="24"/>
        </w:rPr>
        <w:t xml:space="preserve">  </w:t>
      </w:r>
      <w:r w:rsidRPr="00B67E73">
        <w:rPr>
          <w:rStyle w:val="jrnl"/>
          <w:rFonts w:asciiTheme="minorHAnsi" w:hAnsiTheme="minorHAnsi" w:cstheme="minorHAnsi"/>
          <w:sz w:val="24"/>
          <w:szCs w:val="24"/>
        </w:rPr>
        <w:t xml:space="preserve">J </w:t>
      </w:r>
      <w:proofErr w:type="spellStart"/>
      <w:r w:rsidRPr="00B67E73">
        <w:rPr>
          <w:rStyle w:val="jrnl"/>
          <w:rFonts w:asciiTheme="minorHAnsi" w:hAnsiTheme="minorHAnsi" w:cstheme="minorHAnsi"/>
          <w:sz w:val="24"/>
          <w:szCs w:val="24"/>
        </w:rPr>
        <w:t>Emerg</w:t>
      </w:r>
      <w:proofErr w:type="spellEnd"/>
      <w:r w:rsidRPr="00B67E73">
        <w:rPr>
          <w:rStyle w:val="jrnl"/>
          <w:rFonts w:asciiTheme="minorHAnsi" w:hAnsiTheme="minorHAnsi" w:cstheme="minorHAnsi"/>
          <w:sz w:val="24"/>
          <w:szCs w:val="24"/>
        </w:rPr>
        <w:t xml:space="preserve"> </w:t>
      </w:r>
      <w:proofErr w:type="spellStart"/>
      <w:r w:rsidRPr="00B67E73">
        <w:rPr>
          <w:rStyle w:val="jrnl"/>
          <w:rFonts w:asciiTheme="minorHAnsi" w:hAnsiTheme="minorHAnsi" w:cstheme="minorHAnsi"/>
          <w:sz w:val="24"/>
          <w:szCs w:val="24"/>
        </w:rPr>
        <w:t>Nurs</w:t>
      </w:r>
      <w:proofErr w:type="spellEnd"/>
      <w:r w:rsidRPr="00B67E73">
        <w:rPr>
          <w:rFonts w:asciiTheme="minorHAnsi" w:hAnsiTheme="minorHAnsi" w:cstheme="minorHAnsi"/>
          <w:sz w:val="24"/>
          <w:szCs w:val="24"/>
        </w:rPr>
        <w:t>. 2009 Apr;35(2):114-7.</w:t>
      </w:r>
    </w:p>
    <w:p w:rsidR="00B67E73" w:rsidRPr="00B67E73" w:rsidRDefault="00B67E73" w:rsidP="00B67E73">
      <w:pPr>
        <w:pStyle w:val="desc"/>
        <w:numPr>
          <w:ilvl w:val="0"/>
          <w:numId w:val="7"/>
        </w:numPr>
        <w:rPr>
          <w:rFonts w:asciiTheme="minorHAnsi" w:hAnsiTheme="minorHAnsi" w:cstheme="minorHAnsi"/>
        </w:rPr>
      </w:pPr>
      <w:r w:rsidRPr="00B67E73">
        <w:rPr>
          <w:rFonts w:asciiTheme="minorHAnsi" w:hAnsiTheme="minorHAnsi" w:cstheme="minorHAnsi"/>
        </w:rPr>
        <w:t xml:space="preserve">Burkholder-Allen K, </w:t>
      </w:r>
      <w:r w:rsidRPr="00B67E73">
        <w:rPr>
          <w:rFonts w:asciiTheme="minorHAnsi" w:hAnsiTheme="minorHAnsi" w:cstheme="minorHAnsi"/>
          <w:bCs/>
        </w:rPr>
        <w:t>Rega P</w:t>
      </w:r>
      <w:r w:rsidRPr="00B67E73">
        <w:rPr>
          <w:rFonts w:asciiTheme="minorHAnsi" w:hAnsiTheme="minorHAnsi" w:cstheme="minorHAnsi"/>
        </w:rPr>
        <w:t>, Bork C, Budd C.</w:t>
      </w:r>
      <w:r w:rsidRPr="00B67E73">
        <w:rPr>
          <w:rFonts w:asciiTheme="minorHAnsi" w:hAnsiTheme="minorHAnsi" w:cstheme="minorHAnsi"/>
        </w:rPr>
        <w:t xml:space="preserve">  </w:t>
      </w:r>
      <w:hyperlink r:id="rId8" w:history="1">
        <w:r w:rsidRPr="00B67E73">
          <w:rPr>
            <w:rStyle w:val="Hyperlink"/>
            <w:rFonts w:asciiTheme="minorHAnsi" w:hAnsiTheme="minorHAnsi" w:cstheme="minorHAnsi"/>
            <w:color w:val="auto"/>
            <w:u w:val="none"/>
          </w:rPr>
          <w:t>Botulism Questionnaire: a tactical tool for community use in a mass casualty incident.</w:t>
        </w:r>
      </w:hyperlink>
      <w:r w:rsidRPr="00B67E73">
        <w:rPr>
          <w:rFonts w:asciiTheme="minorHAnsi" w:hAnsiTheme="minorHAnsi" w:cstheme="minorHAnsi"/>
        </w:rPr>
        <w:t xml:space="preserve">  </w:t>
      </w:r>
      <w:proofErr w:type="spellStart"/>
      <w:r w:rsidRPr="00B67E73">
        <w:rPr>
          <w:rStyle w:val="jrnl"/>
          <w:rFonts w:asciiTheme="minorHAnsi" w:hAnsiTheme="minorHAnsi" w:cstheme="minorHAnsi"/>
        </w:rPr>
        <w:t>Nurs</w:t>
      </w:r>
      <w:proofErr w:type="spellEnd"/>
      <w:r w:rsidRPr="00B67E73">
        <w:rPr>
          <w:rStyle w:val="jrnl"/>
          <w:rFonts w:asciiTheme="minorHAnsi" w:hAnsiTheme="minorHAnsi" w:cstheme="minorHAnsi"/>
        </w:rPr>
        <w:t xml:space="preserve"> Health Sci</w:t>
      </w:r>
      <w:r w:rsidRPr="00B67E73">
        <w:rPr>
          <w:rFonts w:asciiTheme="minorHAnsi" w:hAnsiTheme="minorHAnsi" w:cstheme="minorHAnsi"/>
        </w:rPr>
        <w:t>. 2009 Dec;11(4):374-7.</w:t>
      </w:r>
    </w:p>
    <w:p w:rsidR="00B67E73" w:rsidRPr="00B67E73" w:rsidRDefault="00B67E73" w:rsidP="00B67E73">
      <w:pPr>
        <w:pStyle w:val="desc"/>
        <w:numPr>
          <w:ilvl w:val="0"/>
          <w:numId w:val="7"/>
        </w:numPr>
        <w:rPr>
          <w:rFonts w:asciiTheme="minorHAnsi" w:hAnsiTheme="minorHAnsi" w:cstheme="minorHAnsi"/>
        </w:rPr>
      </w:pPr>
      <w:r w:rsidRPr="00B67E73">
        <w:rPr>
          <w:rFonts w:asciiTheme="minorHAnsi" w:hAnsiTheme="minorHAnsi" w:cstheme="minorHAnsi"/>
          <w:bCs/>
        </w:rPr>
        <w:t>Rega P</w:t>
      </w:r>
      <w:r w:rsidRPr="00B67E73">
        <w:rPr>
          <w:rFonts w:asciiTheme="minorHAnsi" w:hAnsiTheme="minorHAnsi" w:cstheme="minorHAnsi"/>
        </w:rPr>
        <w:t>, Burkholder-Allen K, Bork C.</w:t>
      </w:r>
      <w:r w:rsidRPr="00B67E73">
        <w:rPr>
          <w:rFonts w:asciiTheme="minorHAnsi" w:hAnsiTheme="minorHAnsi" w:cstheme="minorHAnsi"/>
        </w:rPr>
        <w:t xml:space="preserve">  </w:t>
      </w:r>
      <w:hyperlink r:id="rId9" w:history="1">
        <w:r w:rsidRPr="00B67E73">
          <w:rPr>
            <w:rStyle w:val="Hyperlink"/>
            <w:rFonts w:asciiTheme="minorHAnsi" w:hAnsiTheme="minorHAnsi" w:cstheme="minorHAnsi"/>
            <w:color w:val="auto"/>
            <w:u w:val="none"/>
          </w:rPr>
          <w:t>An algorithm for the evaluation and management of red, yellow, and green zone patients during a botulism mass casualty incident.</w:t>
        </w:r>
      </w:hyperlink>
      <w:r w:rsidRPr="00B67E73">
        <w:rPr>
          <w:rFonts w:asciiTheme="minorHAnsi" w:hAnsiTheme="minorHAnsi" w:cstheme="minorHAnsi"/>
        </w:rPr>
        <w:t xml:space="preserve">  </w:t>
      </w:r>
      <w:r w:rsidRPr="00B67E73">
        <w:rPr>
          <w:rStyle w:val="jrnl"/>
          <w:rFonts w:asciiTheme="minorHAnsi" w:hAnsiTheme="minorHAnsi" w:cstheme="minorHAnsi"/>
        </w:rPr>
        <w:t>Am J Disaster Med</w:t>
      </w:r>
      <w:r w:rsidRPr="00B67E73">
        <w:rPr>
          <w:rFonts w:asciiTheme="minorHAnsi" w:hAnsiTheme="minorHAnsi" w:cstheme="minorHAnsi"/>
        </w:rPr>
        <w:t>. 2009 Jul-Aug;4(4):192-8.</w:t>
      </w:r>
    </w:p>
    <w:p w:rsidR="00B67E73" w:rsidRPr="00B67E73" w:rsidRDefault="00B67E73" w:rsidP="00B67E73">
      <w:pPr>
        <w:pStyle w:val="desc2"/>
        <w:shd w:val="clear" w:color="auto" w:fill="FFFFFF"/>
        <w:ind w:left="720"/>
        <w:rPr>
          <w:rFonts w:ascii="Arial" w:hAnsi="Arial" w:cs="Arial"/>
          <w:sz w:val="22"/>
          <w:szCs w:val="22"/>
        </w:rPr>
      </w:pPr>
    </w:p>
    <w:p w:rsidR="00820FC0" w:rsidRDefault="00820FC0" w:rsidP="00820FC0">
      <w:pPr>
        <w:shd w:val="clear" w:color="auto" w:fill="FFFFFF"/>
        <w:spacing w:before="120" w:after="360" w:line="240" w:lineRule="auto"/>
        <w:ind w:right="2"/>
        <w:rPr>
          <w:rFonts w:eastAsia="Times New Roman" w:cstheme="minorHAnsi"/>
          <w:sz w:val="24"/>
          <w:szCs w:val="24"/>
        </w:rPr>
      </w:pPr>
    </w:p>
    <w:p w:rsidR="00820FC0" w:rsidRDefault="00820FC0" w:rsidP="00820FC0">
      <w:r>
        <w:t>Professional Biography of Paul Rega, MD, FACEP</w:t>
      </w:r>
    </w:p>
    <w:p w:rsidR="00820FC0" w:rsidRDefault="00820FC0" w:rsidP="00820FC0">
      <w:r>
        <w:t xml:space="preserve">Dr. Rega has been an emergency physician for over thirty years and has been board-certified in Emergency Medicine and Pediatric Emergency Medicine until his retirement.  </w:t>
      </w:r>
    </w:p>
    <w:p w:rsidR="00820FC0" w:rsidRDefault="00820FC0" w:rsidP="00820FC0">
      <w:pPr>
        <w:pStyle w:val="NormalWeb"/>
        <w:spacing w:before="0" w:beforeAutospacing="0" w:after="0" w:afterAutospacing="0"/>
      </w:pPr>
      <w:proofErr w:type="gramStart"/>
      <w:r>
        <w:t>At the present time</w:t>
      </w:r>
      <w:proofErr w:type="gramEnd"/>
      <w:r>
        <w:t xml:space="preserve">, Dr. </w:t>
      </w:r>
      <w:proofErr w:type="spellStart"/>
      <w:r>
        <w:t>Rega’s</w:t>
      </w:r>
      <w:proofErr w:type="spellEnd"/>
      <w:r>
        <w:t xml:space="preserve"> activities have been concentrated in education and research at The University of Toledo College of Medicine where he is an Assistant Professor in both the Department of Public Health &amp; Preventive Medicine and the Department of Emergency Medicine.  He currently has </w:t>
      </w:r>
      <w:proofErr w:type="gramStart"/>
      <w:r>
        <w:t>a number of</w:t>
      </w:r>
      <w:proofErr w:type="gramEnd"/>
      <w:r>
        <w:t xml:space="preserve"> semester courses relating to pandemics, global health, and disasters.  Virtually </w:t>
      </w:r>
      <w:proofErr w:type="gramStart"/>
      <w:r>
        <w:t>all of</w:t>
      </w:r>
      <w:proofErr w:type="gramEnd"/>
      <w:r>
        <w:t xml:space="preserve"> his educational endeavors are multidisciplinary in nature (Medicine, Nursing, PA, Pharmacology, and Public Health) and make extensive use of simulation (Table-top and Functional exercises, High-Fidelity Simulations, Hybrid simulations, etc.).</w:t>
      </w:r>
    </w:p>
    <w:p w:rsidR="00820FC0" w:rsidRDefault="00820FC0" w:rsidP="00820FC0">
      <w:pPr>
        <w:pStyle w:val="NormalWeb"/>
        <w:spacing w:before="0" w:beforeAutospacing="0" w:after="0" w:afterAutospacing="0"/>
      </w:pPr>
    </w:p>
    <w:p w:rsidR="00820FC0" w:rsidRPr="003C7536" w:rsidRDefault="00820FC0" w:rsidP="00820FC0">
      <w:pPr>
        <w:pStyle w:val="NormalWeb"/>
        <w:spacing w:before="0" w:beforeAutospacing="0" w:after="0" w:afterAutospacing="0"/>
      </w:pPr>
      <w:r>
        <w:t xml:space="preserve">This association with the university has also resulted in </w:t>
      </w:r>
      <w:proofErr w:type="gramStart"/>
      <w:r>
        <w:t>a number of</w:t>
      </w:r>
      <w:proofErr w:type="gramEnd"/>
      <w:r>
        <w:t xml:space="preserve"> publications in peer-reviewed journals and grants associated with disaster medicine, simulation medicine, and pandemic preparedness and response.  </w:t>
      </w:r>
    </w:p>
    <w:p w:rsidR="00820FC0" w:rsidRPr="00820FC0" w:rsidRDefault="00820FC0" w:rsidP="00820FC0">
      <w:pPr>
        <w:shd w:val="clear" w:color="auto" w:fill="FFFFFF"/>
        <w:spacing w:before="120" w:after="360" w:line="240" w:lineRule="auto"/>
        <w:ind w:right="2"/>
        <w:rPr>
          <w:rFonts w:eastAsia="Times New Roman" w:cstheme="minorHAnsi"/>
          <w:sz w:val="24"/>
          <w:szCs w:val="24"/>
        </w:rPr>
      </w:pPr>
    </w:p>
    <w:sectPr w:rsidR="00820FC0" w:rsidRPr="00820F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A5B8C"/>
    <w:multiLevelType w:val="hybridMultilevel"/>
    <w:tmpl w:val="190A134E"/>
    <w:lvl w:ilvl="0" w:tplc="4CEA31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743B86"/>
    <w:multiLevelType w:val="hybridMultilevel"/>
    <w:tmpl w:val="70A6FC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6C10F6"/>
    <w:multiLevelType w:val="hybridMultilevel"/>
    <w:tmpl w:val="A43E62D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E76E43"/>
    <w:multiLevelType w:val="hybridMultilevel"/>
    <w:tmpl w:val="A43E62D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817C50"/>
    <w:multiLevelType w:val="hybridMultilevel"/>
    <w:tmpl w:val="A43E62D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5EA051E"/>
    <w:multiLevelType w:val="hybridMultilevel"/>
    <w:tmpl w:val="72AA4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8692CE0"/>
    <w:multiLevelType w:val="hybridMultilevel"/>
    <w:tmpl w:val="C61C9C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0"/>
  </w:num>
  <w:num w:numId="5">
    <w:abstractNumId w:val="4"/>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AAA"/>
    <w:rsid w:val="0004158F"/>
    <w:rsid w:val="00093C45"/>
    <w:rsid w:val="000E33CC"/>
    <w:rsid w:val="001A21D9"/>
    <w:rsid w:val="001F01D4"/>
    <w:rsid w:val="0023222F"/>
    <w:rsid w:val="002D5DB4"/>
    <w:rsid w:val="002E0DBB"/>
    <w:rsid w:val="003C6729"/>
    <w:rsid w:val="0040636B"/>
    <w:rsid w:val="00423C7E"/>
    <w:rsid w:val="004D6860"/>
    <w:rsid w:val="00503AD7"/>
    <w:rsid w:val="00544770"/>
    <w:rsid w:val="00570041"/>
    <w:rsid w:val="00584DCD"/>
    <w:rsid w:val="005C0D9C"/>
    <w:rsid w:val="005D4521"/>
    <w:rsid w:val="005F7A6D"/>
    <w:rsid w:val="00654F51"/>
    <w:rsid w:val="00662C58"/>
    <w:rsid w:val="006A4B78"/>
    <w:rsid w:val="006F177D"/>
    <w:rsid w:val="00743769"/>
    <w:rsid w:val="00781AAA"/>
    <w:rsid w:val="007C0895"/>
    <w:rsid w:val="007E70BC"/>
    <w:rsid w:val="00800536"/>
    <w:rsid w:val="00820FC0"/>
    <w:rsid w:val="00822D7C"/>
    <w:rsid w:val="008801BA"/>
    <w:rsid w:val="008835E8"/>
    <w:rsid w:val="00883976"/>
    <w:rsid w:val="008876FF"/>
    <w:rsid w:val="008D5EC7"/>
    <w:rsid w:val="008F4AAA"/>
    <w:rsid w:val="009146D1"/>
    <w:rsid w:val="00941A9E"/>
    <w:rsid w:val="0094592A"/>
    <w:rsid w:val="00967710"/>
    <w:rsid w:val="00A733CB"/>
    <w:rsid w:val="00A9776E"/>
    <w:rsid w:val="00A97813"/>
    <w:rsid w:val="00AC25C1"/>
    <w:rsid w:val="00B474A3"/>
    <w:rsid w:val="00B67E73"/>
    <w:rsid w:val="00B90046"/>
    <w:rsid w:val="00BB1438"/>
    <w:rsid w:val="00BE4020"/>
    <w:rsid w:val="00C0582B"/>
    <w:rsid w:val="00D22525"/>
    <w:rsid w:val="00D53A31"/>
    <w:rsid w:val="00DA100F"/>
    <w:rsid w:val="00DA4518"/>
    <w:rsid w:val="00E0700B"/>
    <w:rsid w:val="00E340FE"/>
    <w:rsid w:val="00E66898"/>
    <w:rsid w:val="00E9442B"/>
    <w:rsid w:val="00E94EF9"/>
    <w:rsid w:val="00F41368"/>
    <w:rsid w:val="00F41B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A2466"/>
  <w15:chartTrackingRefBased/>
  <w15:docId w15:val="{2669BF58-F9C4-48F5-8891-ADA99F977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883976"/>
    <w:pPr>
      <w:spacing w:before="240" w:after="120" w:line="240" w:lineRule="auto"/>
      <w:outlineLvl w:val="0"/>
    </w:pPr>
    <w:rPr>
      <w:rFonts w:ascii="Times New Roman" w:eastAsia="Times New Roman" w:hAnsi="Times New Roman" w:cs="Times New Roman"/>
      <w:b/>
      <w:bCs/>
      <w:color w:val="000000"/>
      <w:kern w:val="36"/>
      <w:sz w:val="33"/>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222F"/>
    <w:pPr>
      <w:ind w:left="720"/>
      <w:contextualSpacing/>
    </w:pPr>
  </w:style>
  <w:style w:type="paragraph" w:styleId="NormalWeb">
    <w:name w:val="Normal (Web)"/>
    <w:basedOn w:val="Normal"/>
    <w:uiPriority w:val="99"/>
    <w:unhideWhenUsed/>
    <w:rsid w:val="002322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size-base6">
    <w:name w:val="a-size-base6"/>
    <w:rsid w:val="0023222F"/>
  </w:style>
  <w:style w:type="character" w:customStyle="1" w:styleId="jrnl">
    <w:name w:val="jrnl"/>
    <w:basedOn w:val="DefaultParagraphFont"/>
    <w:rsid w:val="0023222F"/>
  </w:style>
  <w:style w:type="character" w:styleId="HTMLTypewriter">
    <w:name w:val="HTML Typewriter"/>
    <w:uiPriority w:val="99"/>
    <w:semiHidden/>
    <w:unhideWhenUsed/>
    <w:rsid w:val="00883976"/>
    <w:rPr>
      <w:rFonts w:ascii="Courier New" w:eastAsia="Times New Roman" w:hAnsi="Courier New" w:cs="Courier New"/>
      <w:sz w:val="20"/>
      <w:szCs w:val="20"/>
    </w:rPr>
  </w:style>
  <w:style w:type="character" w:customStyle="1" w:styleId="Heading1Char">
    <w:name w:val="Heading 1 Char"/>
    <w:basedOn w:val="DefaultParagraphFont"/>
    <w:link w:val="Heading1"/>
    <w:uiPriority w:val="9"/>
    <w:rsid w:val="00883976"/>
    <w:rPr>
      <w:rFonts w:ascii="Times New Roman" w:eastAsia="Times New Roman" w:hAnsi="Times New Roman" w:cs="Times New Roman"/>
      <w:b/>
      <w:bCs/>
      <w:color w:val="000000"/>
      <w:kern w:val="36"/>
      <w:sz w:val="33"/>
      <w:szCs w:val="33"/>
    </w:rPr>
  </w:style>
  <w:style w:type="character" w:styleId="Hyperlink">
    <w:name w:val="Hyperlink"/>
    <w:basedOn w:val="DefaultParagraphFont"/>
    <w:uiPriority w:val="99"/>
    <w:semiHidden/>
    <w:unhideWhenUsed/>
    <w:rsid w:val="0094592A"/>
    <w:rPr>
      <w:color w:val="0000FF"/>
      <w:u w:val="single"/>
    </w:rPr>
  </w:style>
  <w:style w:type="paragraph" w:customStyle="1" w:styleId="title1">
    <w:name w:val="title1"/>
    <w:basedOn w:val="Normal"/>
    <w:rsid w:val="00B67E73"/>
    <w:pPr>
      <w:spacing w:after="0" w:line="240" w:lineRule="auto"/>
    </w:pPr>
    <w:rPr>
      <w:rFonts w:ascii="Times New Roman" w:eastAsia="Times New Roman" w:hAnsi="Times New Roman" w:cs="Times New Roman"/>
      <w:sz w:val="27"/>
      <w:szCs w:val="27"/>
    </w:rPr>
  </w:style>
  <w:style w:type="paragraph" w:customStyle="1" w:styleId="desc2">
    <w:name w:val="desc2"/>
    <w:basedOn w:val="Normal"/>
    <w:rsid w:val="00B67E73"/>
    <w:pPr>
      <w:spacing w:after="0" w:line="240" w:lineRule="auto"/>
    </w:pPr>
    <w:rPr>
      <w:rFonts w:ascii="Times New Roman" w:eastAsia="Times New Roman" w:hAnsi="Times New Roman" w:cs="Times New Roman"/>
      <w:sz w:val="26"/>
      <w:szCs w:val="26"/>
    </w:rPr>
  </w:style>
  <w:style w:type="paragraph" w:customStyle="1" w:styleId="details1">
    <w:name w:val="details1"/>
    <w:basedOn w:val="Normal"/>
    <w:rsid w:val="00B67E73"/>
    <w:pPr>
      <w:spacing w:after="0" w:line="240" w:lineRule="auto"/>
    </w:pPr>
    <w:rPr>
      <w:rFonts w:ascii="Times New Roman" w:eastAsia="Times New Roman" w:hAnsi="Times New Roman" w:cs="Times New Roman"/>
    </w:rPr>
  </w:style>
  <w:style w:type="paragraph" w:customStyle="1" w:styleId="title">
    <w:name w:val="title"/>
    <w:basedOn w:val="Normal"/>
    <w:rsid w:val="00B67E7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c">
    <w:name w:val="desc"/>
    <w:basedOn w:val="Normal"/>
    <w:rsid w:val="00B67E7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B67E7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415738">
      <w:bodyDiv w:val="1"/>
      <w:marLeft w:val="0"/>
      <w:marRight w:val="0"/>
      <w:marTop w:val="0"/>
      <w:marBottom w:val="0"/>
      <w:divBdr>
        <w:top w:val="none" w:sz="0" w:space="0" w:color="auto"/>
        <w:left w:val="none" w:sz="0" w:space="0" w:color="auto"/>
        <w:bottom w:val="none" w:sz="0" w:space="0" w:color="auto"/>
        <w:right w:val="none" w:sz="0" w:space="0" w:color="auto"/>
      </w:divBdr>
      <w:divsChild>
        <w:div w:id="804928139">
          <w:marLeft w:val="0"/>
          <w:marRight w:val="1"/>
          <w:marTop w:val="0"/>
          <w:marBottom w:val="0"/>
          <w:divBdr>
            <w:top w:val="none" w:sz="0" w:space="0" w:color="auto"/>
            <w:left w:val="none" w:sz="0" w:space="0" w:color="auto"/>
            <w:bottom w:val="none" w:sz="0" w:space="0" w:color="auto"/>
            <w:right w:val="none" w:sz="0" w:space="0" w:color="auto"/>
          </w:divBdr>
          <w:divsChild>
            <w:div w:id="1270892520">
              <w:marLeft w:val="0"/>
              <w:marRight w:val="0"/>
              <w:marTop w:val="0"/>
              <w:marBottom w:val="0"/>
              <w:divBdr>
                <w:top w:val="none" w:sz="0" w:space="0" w:color="auto"/>
                <w:left w:val="none" w:sz="0" w:space="0" w:color="auto"/>
                <w:bottom w:val="none" w:sz="0" w:space="0" w:color="auto"/>
                <w:right w:val="none" w:sz="0" w:space="0" w:color="auto"/>
              </w:divBdr>
              <w:divsChild>
                <w:div w:id="1092892114">
                  <w:marLeft w:val="0"/>
                  <w:marRight w:val="1"/>
                  <w:marTop w:val="0"/>
                  <w:marBottom w:val="0"/>
                  <w:divBdr>
                    <w:top w:val="none" w:sz="0" w:space="0" w:color="auto"/>
                    <w:left w:val="none" w:sz="0" w:space="0" w:color="auto"/>
                    <w:bottom w:val="none" w:sz="0" w:space="0" w:color="auto"/>
                    <w:right w:val="none" w:sz="0" w:space="0" w:color="auto"/>
                  </w:divBdr>
                  <w:divsChild>
                    <w:div w:id="796069317">
                      <w:marLeft w:val="0"/>
                      <w:marRight w:val="0"/>
                      <w:marTop w:val="0"/>
                      <w:marBottom w:val="0"/>
                      <w:divBdr>
                        <w:top w:val="none" w:sz="0" w:space="0" w:color="auto"/>
                        <w:left w:val="none" w:sz="0" w:space="0" w:color="auto"/>
                        <w:bottom w:val="none" w:sz="0" w:space="0" w:color="auto"/>
                        <w:right w:val="none" w:sz="0" w:space="0" w:color="auto"/>
                      </w:divBdr>
                      <w:divsChild>
                        <w:div w:id="515967508">
                          <w:marLeft w:val="0"/>
                          <w:marRight w:val="0"/>
                          <w:marTop w:val="0"/>
                          <w:marBottom w:val="0"/>
                          <w:divBdr>
                            <w:top w:val="none" w:sz="0" w:space="0" w:color="auto"/>
                            <w:left w:val="none" w:sz="0" w:space="0" w:color="auto"/>
                            <w:bottom w:val="none" w:sz="0" w:space="0" w:color="auto"/>
                            <w:right w:val="none" w:sz="0" w:space="0" w:color="auto"/>
                          </w:divBdr>
                          <w:divsChild>
                            <w:div w:id="37169466">
                              <w:marLeft w:val="0"/>
                              <w:marRight w:val="0"/>
                              <w:marTop w:val="120"/>
                              <w:marBottom w:val="360"/>
                              <w:divBdr>
                                <w:top w:val="none" w:sz="0" w:space="0" w:color="auto"/>
                                <w:left w:val="none" w:sz="0" w:space="0" w:color="auto"/>
                                <w:bottom w:val="none" w:sz="0" w:space="0" w:color="auto"/>
                                <w:right w:val="none" w:sz="0" w:space="0" w:color="auto"/>
                              </w:divBdr>
                              <w:divsChild>
                                <w:div w:id="1827432292">
                                  <w:marLeft w:val="0"/>
                                  <w:marRight w:val="0"/>
                                  <w:marTop w:val="0"/>
                                  <w:marBottom w:val="0"/>
                                  <w:divBdr>
                                    <w:top w:val="none" w:sz="0" w:space="0" w:color="auto"/>
                                    <w:left w:val="none" w:sz="0" w:space="0" w:color="auto"/>
                                    <w:bottom w:val="none" w:sz="0" w:space="0" w:color="auto"/>
                                    <w:right w:val="none" w:sz="0" w:space="0" w:color="auto"/>
                                  </w:divBdr>
                                </w:div>
                                <w:div w:id="51858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200454">
      <w:bodyDiv w:val="1"/>
      <w:marLeft w:val="0"/>
      <w:marRight w:val="0"/>
      <w:marTop w:val="0"/>
      <w:marBottom w:val="0"/>
      <w:divBdr>
        <w:top w:val="none" w:sz="0" w:space="0" w:color="auto"/>
        <w:left w:val="none" w:sz="0" w:space="0" w:color="auto"/>
        <w:bottom w:val="none" w:sz="0" w:space="0" w:color="auto"/>
        <w:right w:val="none" w:sz="0" w:space="0" w:color="auto"/>
      </w:divBdr>
      <w:divsChild>
        <w:div w:id="840123824">
          <w:marLeft w:val="0"/>
          <w:marRight w:val="1"/>
          <w:marTop w:val="0"/>
          <w:marBottom w:val="0"/>
          <w:divBdr>
            <w:top w:val="none" w:sz="0" w:space="0" w:color="auto"/>
            <w:left w:val="none" w:sz="0" w:space="0" w:color="auto"/>
            <w:bottom w:val="none" w:sz="0" w:space="0" w:color="auto"/>
            <w:right w:val="none" w:sz="0" w:space="0" w:color="auto"/>
          </w:divBdr>
          <w:divsChild>
            <w:div w:id="759569147">
              <w:marLeft w:val="0"/>
              <w:marRight w:val="0"/>
              <w:marTop w:val="0"/>
              <w:marBottom w:val="0"/>
              <w:divBdr>
                <w:top w:val="none" w:sz="0" w:space="0" w:color="auto"/>
                <w:left w:val="none" w:sz="0" w:space="0" w:color="auto"/>
                <w:bottom w:val="none" w:sz="0" w:space="0" w:color="auto"/>
                <w:right w:val="none" w:sz="0" w:space="0" w:color="auto"/>
              </w:divBdr>
              <w:divsChild>
                <w:div w:id="1124345359">
                  <w:marLeft w:val="0"/>
                  <w:marRight w:val="1"/>
                  <w:marTop w:val="0"/>
                  <w:marBottom w:val="0"/>
                  <w:divBdr>
                    <w:top w:val="none" w:sz="0" w:space="0" w:color="auto"/>
                    <w:left w:val="none" w:sz="0" w:space="0" w:color="auto"/>
                    <w:bottom w:val="none" w:sz="0" w:space="0" w:color="auto"/>
                    <w:right w:val="none" w:sz="0" w:space="0" w:color="auto"/>
                  </w:divBdr>
                  <w:divsChild>
                    <w:div w:id="1020425292">
                      <w:marLeft w:val="0"/>
                      <w:marRight w:val="0"/>
                      <w:marTop w:val="0"/>
                      <w:marBottom w:val="0"/>
                      <w:divBdr>
                        <w:top w:val="none" w:sz="0" w:space="0" w:color="auto"/>
                        <w:left w:val="none" w:sz="0" w:space="0" w:color="auto"/>
                        <w:bottom w:val="none" w:sz="0" w:space="0" w:color="auto"/>
                        <w:right w:val="none" w:sz="0" w:space="0" w:color="auto"/>
                      </w:divBdr>
                      <w:divsChild>
                        <w:div w:id="356079280">
                          <w:marLeft w:val="0"/>
                          <w:marRight w:val="0"/>
                          <w:marTop w:val="0"/>
                          <w:marBottom w:val="0"/>
                          <w:divBdr>
                            <w:top w:val="none" w:sz="0" w:space="0" w:color="auto"/>
                            <w:left w:val="none" w:sz="0" w:space="0" w:color="auto"/>
                            <w:bottom w:val="none" w:sz="0" w:space="0" w:color="auto"/>
                            <w:right w:val="none" w:sz="0" w:space="0" w:color="auto"/>
                          </w:divBdr>
                          <w:divsChild>
                            <w:div w:id="2105999908">
                              <w:marLeft w:val="0"/>
                              <w:marRight w:val="0"/>
                              <w:marTop w:val="120"/>
                              <w:marBottom w:val="360"/>
                              <w:divBdr>
                                <w:top w:val="none" w:sz="0" w:space="0" w:color="auto"/>
                                <w:left w:val="none" w:sz="0" w:space="0" w:color="auto"/>
                                <w:bottom w:val="none" w:sz="0" w:space="0" w:color="auto"/>
                                <w:right w:val="none" w:sz="0" w:space="0" w:color="auto"/>
                              </w:divBdr>
                              <w:divsChild>
                                <w:div w:id="1930965969">
                                  <w:marLeft w:val="420"/>
                                  <w:marRight w:val="0"/>
                                  <w:marTop w:val="0"/>
                                  <w:marBottom w:val="0"/>
                                  <w:divBdr>
                                    <w:top w:val="none" w:sz="0" w:space="0" w:color="auto"/>
                                    <w:left w:val="none" w:sz="0" w:space="0" w:color="auto"/>
                                    <w:bottom w:val="none" w:sz="0" w:space="0" w:color="auto"/>
                                    <w:right w:val="none" w:sz="0" w:space="0" w:color="auto"/>
                                  </w:divBdr>
                                  <w:divsChild>
                                    <w:div w:id="777875303">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0842275">
      <w:bodyDiv w:val="1"/>
      <w:marLeft w:val="0"/>
      <w:marRight w:val="0"/>
      <w:marTop w:val="0"/>
      <w:marBottom w:val="0"/>
      <w:divBdr>
        <w:top w:val="none" w:sz="0" w:space="0" w:color="auto"/>
        <w:left w:val="none" w:sz="0" w:space="0" w:color="auto"/>
        <w:bottom w:val="none" w:sz="0" w:space="0" w:color="auto"/>
        <w:right w:val="none" w:sz="0" w:space="0" w:color="auto"/>
      </w:divBdr>
      <w:divsChild>
        <w:div w:id="1953198185">
          <w:marLeft w:val="0"/>
          <w:marRight w:val="0"/>
          <w:marTop w:val="0"/>
          <w:marBottom w:val="0"/>
          <w:divBdr>
            <w:top w:val="none" w:sz="0" w:space="0" w:color="auto"/>
            <w:left w:val="none" w:sz="0" w:space="0" w:color="auto"/>
            <w:bottom w:val="none" w:sz="0" w:space="0" w:color="auto"/>
            <w:right w:val="none" w:sz="0" w:space="0" w:color="auto"/>
          </w:divBdr>
          <w:divsChild>
            <w:div w:id="40634101">
              <w:marLeft w:val="0"/>
              <w:marRight w:val="0"/>
              <w:marTop w:val="0"/>
              <w:marBottom w:val="0"/>
              <w:divBdr>
                <w:top w:val="none" w:sz="0" w:space="0" w:color="auto"/>
                <w:left w:val="none" w:sz="0" w:space="0" w:color="auto"/>
                <w:bottom w:val="none" w:sz="0" w:space="0" w:color="auto"/>
                <w:right w:val="none" w:sz="0" w:space="0" w:color="auto"/>
              </w:divBdr>
              <w:divsChild>
                <w:div w:id="1884127184">
                  <w:marLeft w:val="0"/>
                  <w:marRight w:val="0"/>
                  <w:marTop w:val="0"/>
                  <w:marBottom w:val="0"/>
                  <w:divBdr>
                    <w:top w:val="none" w:sz="0" w:space="0" w:color="auto"/>
                    <w:left w:val="none" w:sz="0" w:space="0" w:color="auto"/>
                    <w:bottom w:val="none" w:sz="0" w:space="0" w:color="auto"/>
                    <w:right w:val="none" w:sz="0" w:space="0" w:color="auto"/>
                  </w:divBdr>
                  <w:divsChild>
                    <w:div w:id="2018923255">
                      <w:marLeft w:val="0"/>
                      <w:marRight w:val="0"/>
                      <w:marTop w:val="0"/>
                      <w:marBottom w:val="0"/>
                      <w:divBdr>
                        <w:top w:val="none" w:sz="0" w:space="0" w:color="auto"/>
                        <w:left w:val="none" w:sz="0" w:space="0" w:color="auto"/>
                        <w:bottom w:val="none" w:sz="0" w:space="0" w:color="auto"/>
                        <w:right w:val="none" w:sz="0" w:space="0" w:color="auto"/>
                      </w:divBdr>
                      <w:divsChild>
                        <w:div w:id="1723821604">
                          <w:marLeft w:val="0"/>
                          <w:marRight w:val="0"/>
                          <w:marTop w:val="0"/>
                          <w:marBottom w:val="0"/>
                          <w:divBdr>
                            <w:top w:val="none" w:sz="0" w:space="0" w:color="auto"/>
                            <w:left w:val="none" w:sz="0" w:space="0" w:color="auto"/>
                            <w:bottom w:val="none" w:sz="0" w:space="0" w:color="auto"/>
                            <w:right w:val="none" w:sz="0" w:space="0" w:color="auto"/>
                          </w:divBdr>
                          <w:divsChild>
                            <w:div w:id="1372341552">
                              <w:marLeft w:val="0"/>
                              <w:marRight w:val="0"/>
                              <w:marTop w:val="0"/>
                              <w:marBottom w:val="0"/>
                              <w:divBdr>
                                <w:top w:val="none" w:sz="0" w:space="0" w:color="auto"/>
                                <w:left w:val="none" w:sz="0" w:space="0" w:color="auto"/>
                                <w:bottom w:val="none" w:sz="0" w:space="0" w:color="auto"/>
                                <w:right w:val="none" w:sz="0" w:space="0" w:color="auto"/>
                              </w:divBdr>
                              <w:divsChild>
                                <w:div w:id="553934450">
                                  <w:marLeft w:val="0"/>
                                  <w:marRight w:val="0"/>
                                  <w:marTop w:val="0"/>
                                  <w:marBottom w:val="0"/>
                                  <w:divBdr>
                                    <w:top w:val="none" w:sz="0" w:space="0" w:color="auto"/>
                                    <w:left w:val="none" w:sz="0" w:space="0" w:color="auto"/>
                                    <w:bottom w:val="none" w:sz="0" w:space="0" w:color="auto"/>
                                    <w:right w:val="none" w:sz="0" w:space="0" w:color="auto"/>
                                  </w:divBdr>
                                  <w:divsChild>
                                    <w:div w:id="955718559">
                                      <w:marLeft w:val="0"/>
                                      <w:marRight w:val="0"/>
                                      <w:marTop w:val="0"/>
                                      <w:marBottom w:val="0"/>
                                      <w:divBdr>
                                        <w:top w:val="none" w:sz="0" w:space="0" w:color="auto"/>
                                        <w:left w:val="none" w:sz="0" w:space="0" w:color="auto"/>
                                        <w:bottom w:val="none" w:sz="0" w:space="0" w:color="auto"/>
                                        <w:right w:val="none" w:sz="0" w:space="0" w:color="auto"/>
                                      </w:divBdr>
                                      <w:divsChild>
                                        <w:div w:id="25829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4291825">
      <w:bodyDiv w:val="1"/>
      <w:marLeft w:val="0"/>
      <w:marRight w:val="0"/>
      <w:marTop w:val="0"/>
      <w:marBottom w:val="0"/>
      <w:divBdr>
        <w:top w:val="none" w:sz="0" w:space="0" w:color="auto"/>
        <w:left w:val="none" w:sz="0" w:space="0" w:color="auto"/>
        <w:bottom w:val="none" w:sz="0" w:space="0" w:color="auto"/>
        <w:right w:val="none" w:sz="0" w:space="0" w:color="auto"/>
      </w:divBdr>
      <w:divsChild>
        <w:div w:id="1942104842">
          <w:marLeft w:val="0"/>
          <w:marRight w:val="0"/>
          <w:marTop w:val="0"/>
          <w:marBottom w:val="0"/>
          <w:divBdr>
            <w:top w:val="none" w:sz="0" w:space="0" w:color="auto"/>
            <w:left w:val="none" w:sz="0" w:space="0" w:color="auto"/>
            <w:bottom w:val="none" w:sz="0" w:space="0" w:color="auto"/>
            <w:right w:val="none" w:sz="0" w:space="0" w:color="auto"/>
          </w:divBdr>
          <w:divsChild>
            <w:div w:id="812797163">
              <w:marLeft w:val="0"/>
              <w:marRight w:val="0"/>
              <w:marTop w:val="0"/>
              <w:marBottom w:val="0"/>
              <w:divBdr>
                <w:top w:val="none" w:sz="0" w:space="0" w:color="auto"/>
                <w:left w:val="none" w:sz="0" w:space="0" w:color="auto"/>
                <w:bottom w:val="none" w:sz="0" w:space="0" w:color="auto"/>
                <w:right w:val="none" w:sz="0" w:space="0" w:color="auto"/>
              </w:divBdr>
              <w:divsChild>
                <w:div w:id="1185824527">
                  <w:marLeft w:val="0"/>
                  <w:marRight w:val="0"/>
                  <w:marTop w:val="0"/>
                  <w:marBottom w:val="0"/>
                  <w:divBdr>
                    <w:top w:val="none" w:sz="0" w:space="0" w:color="auto"/>
                    <w:left w:val="none" w:sz="0" w:space="0" w:color="auto"/>
                    <w:bottom w:val="none" w:sz="0" w:space="0" w:color="auto"/>
                    <w:right w:val="none" w:sz="0" w:space="0" w:color="auto"/>
                  </w:divBdr>
                  <w:divsChild>
                    <w:div w:id="2079398098">
                      <w:marLeft w:val="0"/>
                      <w:marRight w:val="0"/>
                      <w:marTop w:val="0"/>
                      <w:marBottom w:val="0"/>
                      <w:divBdr>
                        <w:top w:val="none" w:sz="0" w:space="0" w:color="auto"/>
                        <w:left w:val="none" w:sz="0" w:space="0" w:color="auto"/>
                        <w:bottom w:val="none" w:sz="0" w:space="0" w:color="auto"/>
                        <w:right w:val="none" w:sz="0" w:space="0" w:color="auto"/>
                      </w:divBdr>
                      <w:divsChild>
                        <w:div w:id="706881118">
                          <w:marLeft w:val="0"/>
                          <w:marRight w:val="0"/>
                          <w:marTop w:val="0"/>
                          <w:marBottom w:val="0"/>
                          <w:divBdr>
                            <w:top w:val="none" w:sz="0" w:space="0" w:color="auto"/>
                            <w:left w:val="none" w:sz="0" w:space="0" w:color="auto"/>
                            <w:bottom w:val="none" w:sz="0" w:space="0" w:color="auto"/>
                            <w:right w:val="none" w:sz="0" w:space="0" w:color="auto"/>
                          </w:divBdr>
                          <w:divsChild>
                            <w:div w:id="1382897398">
                              <w:marLeft w:val="0"/>
                              <w:marRight w:val="0"/>
                              <w:marTop w:val="0"/>
                              <w:marBottom w:val="0"/>
                              <w:divBdr>
                                <w:top w:val="none" w:sz="0" w:space="0" w:color="auto"/>
                                <w:left w:val="none" w:sz="0" w:space="0" w:color="auto"/>
                                <w:bottom w:val="none" w:sz="0" w:space="0" w:color="auto"/>
                                <w:right w:val="none" w:sz="0" w:space="0" w:color="auto"/>
                              </w:divBdr>
                              <w:divsChild>
                                <w:div w:id="2005164791">
                                  <w:marLeft w:val="0"/>
                                  <w:marRight w:val="0"/>
                                  <w:marTop w:val="0"/>
                                  <w:marBottom w:val="0"/>
                                  <w:divBdr>
                                    <w:top w:val="none" w:sz="0" w:space="0" w:color="auto"/>
                                    <w:left w:val="none" w:sz="0" w:space="0" w:color="auto"/>
                                    <w:bottom w:val="none" w:sz="0" w:space="0" w:color="auto"/>
                                    <w:right w:val="none" w:sz="0" w:space="0" w:color="auto"/>
                                  </w:divBdr>
                                  <w:divsChild>
                                    <w:div w:id="1643609443">
                                      <w:marLeft w:val="0"/>
                                      <w:marRight w:val="0"/>
                                      <w:marTop w:val="0"/>
                                      <w:marBottom w:val="0"/>
                                      <w:divBdr>
                                        <w:top w:val="none" w:sz="0" w:space="0" w:color="auto"/>
                                        <w:left w:val="none" w:sz="0" w:space="0" w:color="auto"/>
                                        <w:bottom w:val="none" w:sz="0" w:space="0" w:color="auto"/>
                                        <w:right w:val="none" w:sz="0" w:space="0" w:color="auto"/>
                                      </w:divBdr>
                                      <w:divsChild>
                                        <w:div w:id="72124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8110780">
      <w:bodyDiv w:val="1"/>
      <w:marLeft w:val="0"/>
      <w:marRight w:val="0"/>
      <w:marTop w:val="0"/>
      <w:marBottom w:val="0"/>
      <w:divBdr>
        <w:top w:val="none" w:sz="0" w:space="0" w:color="auto"/>
        <w:left w:val="none" w:sz="0" w:space="0" w:color="auto"/>
        <w:bottom w:val="none" w:sz="0" w:space="0" w:color="auto"/>
        <w:right w:val="none" w:sz="0" w:space="0" w:color="auto"/>
      </w:divBdr>
      <w:divsChild>
        <w:div w:id="644285235">
          <w:marLeft w:val="0"/>
          <w:marRight w:val="1"/>
          <w:marTop w:val="0"/>
          <w:marBottom w:val="0"/>
          <w:divBdr>
            <w:top w:val="none" w:sz="0" w:space="0" w:color="auto"/>
            <w:left w:val="none" w:sz="0" w:space="0" w:color="auto"/>
            <w:bottom w:val="none" w:sz="0" w:space="0" w:color="auto"/>
            <w:right w:val="none" w:sz="0" w:space="0" w:color="auto"/>
          </w:divBdr>
          <w:divsChild>
            <w:div w:id="1164588293">
              <w:marLeft w:val="0"/>
              <w:marRight w:val="0"/>
              <w:marTop w:val="0"/>
              <w:marBottom w:val="0"/>
              <w:divBdr>
                <w:top w:val="none" w:sz="0" w:space="0" w:color="auto"/>
                <w:left w:val="none" w:sz="0" w:space="0" w:color="auto"/>
                <w:bottom w:val="none" w:sz="0" w:space="0" w:color="auto"/>
                <w:right w:val="none" w:sz="0" w:space="0" w:color="auto"/>
              </w:divBdr>
              <w:divsChild>
                <w:div w:id="550503663">
                  <w:marLeft w:val="0"/>
                  <w:marRight w:val="1"/>
                  <w:marTop w:val="0"/>
                  <w:marBottom w:val="0"/>
                  <w:divBdr>
                    <w:top w:val="none" w:sz="0" w:space="0" w:color="auto"/>
                    <w:left w:val="none" w:sz="0" w:space="0" w:color="auto"/>
                    <w:bottom w:val="none" w:sz="0" w:space="0" w:color="auto"/>
                    <w:right w:val="none" w:sz="0" w:space="0" w:color="auto"/>
                  </w:divBdr>
                  <w:divsChild>
                    <w:div w:id="948900259">
                      <w:marLeft w:val="0"/>
                      <w:marRight w:val="0"/>
                      <w:marTop w:val="0"/>
                      <w:marBottom w:val="0"/>
                      <w:divBdr>
                        <w:top w:val="none" w:sz="0" w:space="0" w:color="auto"/>
                        <w:left w:val="none" w:sz="0" w:space="0" w:color="auto"/>
                        <w:bottom w:val="none" w:sz="0" w:space="0" w:color="auto"/>
                        <w:right w:val="none" w:sz="0" w:space="0" w:color="auto"/>
                      </w:divBdr>
                      <w:divsChild>
                        <w:div w:id="113061456">
                          <w:marLeft w:val="0"/>
                          <w:marRight w:val="0"/>
                          <w:marTop w:val="0"/>
                          <w:marBottom w:val="0"/>
                          <w:divBdr>
                            <w:top w:val="none" w:sz="0" w:space="0" w:color="auto"/>
                            <w:left w:val="none" w:sz="0" w:space="0" w:color="auto"/>
                            <w:bottom w:val="none" w:sz="0" w:space="0" w:color="auto"/>
                            <w:right w:val="none" w:sz="0" w:space="0" w:color="auto"/>
                          </w:divBdr>
                          <w:divsChild>
                            <w:div w:id="817376886">
                              <w:marLeft w:val="0"/>
                              <w:marRight w:val="0"/>
                              <w:marTop w:val="120"/>
                              <w:marBottom w:val="360"/>
                              <w:divBdr>
                                <w:top w:val="none" w:sz="0" w:space="0" w:color="auto"/>
                                <w:left w:val="none" w:sz="0" w:space="0" w:color="auto"/>
                                <w:bottom w:val="none" w:sz="0" w:space="0" w:color="auto"/>
                                <w:right w:val="none" w:sz="0" w:space="0" w:color="auto"/>
                              </w:divBdr>
                              <w:divsChild>
                                <w:div w:id="1933665438">
                                  <w:marLeft w:val="420"/>
                                  <w:marRight w:val="0"/>
                                  <w:marTop w:val="0"/>
                                  <w:marBottom w:val="0"/>
                                  <w:divBdr>
                                    <w:top w:val="none" w:sz="0" w:space="0" w:color="auto"/>
                                    <w:left w:val="none" w:sz="0" w:space="0" w:color="auto"/>
                                    <w:bottom w:val="none" w:sz="0" w:space="0" w:color="auto"/>
                                    <w:right w:val="none" w:sz="0" w:space="0" w:color="auto"/>
                                  </w:divBdr>
                                  <w:divsChild>
                                    <w:div w:id="1309437439">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4575655">
      <w:bodyDiv w:val="1"/>
      <w:marLeft w:val="0"/>
      <w:marRight w:val="0"/>
      <w:marTop w:val="0"/>
      <w:marBottom w:val="0"/>
      <w:divBdr>
        <w:top w:val="none" w:sz="0" w:space="0" w:color="auto"/>
        <w:left w:val="none" w:sz="0" w:space="0" w:color="auto"/>
        <w:bottom w:val="none" w:sz="0" w:space="0" w:color="auto"/>
        <w:right w:val="none" w:sz="0" w:space="0" w:color="auto"/>
      </w:divBdr>
      <w:divsChild>
        <w:div w:id="414254127">
          <w:marLeft w:val="0"/>
          <w:marRight w:val="1"/>
          <w:marTop w:val="0"/>
          <w:marBottom w:val="0"/>
          <w:divBdr>
            <w:top w:val="none" w:sz="0" w:space="0" w:color="auto"/>
            <w:left w:val="none" w:sz="0" w:space="0" w:color="auto"/>
            <w:bottom w:val="none" w:sz="0" w:space="0" w:color="auto"/>
            <w:right w:val="none" w:sz="0" w:space="0" w:color="auto"/>
          </w:divBdr>
          <w:divsChild>
            <w:div w:id="1436436769">
              <w:marLeft w:val="0"/>
              <w:marRight w:val="0"/>
              <w:marTop w:val="0"/>
              <w:marBottom w:val="0"/>
              <w:divBdr>
                <w:top w:val="none" w:sz="0" w:space="0" w:color="auto"/>
                <w:left w:val="none" w:sz="0" w:space="0" w:color="auto"/>
                <w:bottom w:val="none" w:sz="0" w:space="0" w:color="auto"/>
                <w:right w:val="none" w:sz="0" w:space="0" w:color="auto"/>
              </w:divBdr>
              <w:divsChild>
                <w:div w:id="1054891807">
                  <w:marLeft w:val="0"/>
                  <w:marRight w:val="1"/>
                  <w:marTop w:val="0"/>
                  <w:marBottom w:val="0"/>
                  <w:divBdr>
                    <w:top w:val="none" w:sz="0" w:space="0" w:color="auto"/>
                    <w:left w:val="none" w:sz="0" w:space="0" w:color="auto"/>
                    <w:bottom w:val="none" w:sz="0" w:space="0" w:color="auto"/>
                    <w:right w:val="none" w:sz="0" w:space="0" w:color="auto"/>
                  </w:divBdr>
                  <w:divsChild>
                    <w:div w:id="2061056526">
                      <w:marLeft w:val="0"/>
                      <w:marRight w:val="0"/>
                      <w:marTop w:val="0"/>
                      <w:marBottom w:val="0"/>
                      <w:divBdr>
                        <w:top w:val="none" w:sz="0" w:space="0" w:color="auto"/>
                        <w:left w:val="none" w:sz="0" w:space="0" w:color="auto"/>
                        <w:bottom w:val="none" w:sz="0" w:space="0" w:color="auto"/>
                        <w:right w:val="none" w:sz="0" w:space="0" w:color="auto"/>
                      </w:divBdr>
                      <w:divsChild>
                        <w:div w:id="1862861457">
                          <w:marLeft w:val="0"/>
                          <w:marRight w:val="0"/>
                          <w:marTop w:val="0"/>
                          <w:marBottom w:val="0"/>
                          <w:divBdr>
                            <w:top w:val="none" w:sz="0" w:space="0" w:color="auto"/>
                            <w:left w:val="none" w:sz="0" w:space="0" w:color="auto"/>
                            <w:bottom w:val="none" w:sz="0" w:space="0" w:color="auto"/>
                            <w:right w:val="none" w:sz="0" w:space="0" w:color="auto"/>
                          </w:divBdr>
                          <w:divsChild>
                            <w:div w:id="224027227">
                              <w:marLeft w:val="0"/>
                              <w:marRight w:val="0"/>
                              <w:marTop w:val="120"/>
                              <w:marBottom w:val="360"/>
                              <w:divBdr>
                                <w:top w:val="none" w:sz="0" w:space="0" w:color="auto"/>
                                <w:left w:val="none" w:sz="0" w:space="0" w:color="auto"/>
                                <w:bottom w:val="none" w:sz="0" w:space="0" w:color="auto"/>
                                <w:right w:val="none" w:sz="0" w:space="0" w:color="auto"/>
                              </w:divBdr>
                              <w:divsChild>
                                <w:div w:id="1733625626">
                                  <w:marLeft w:val="420"/>
                                  <w:marRight w:val="0"/>
                                  <w:marTop w:val="0"/>
                                  <w:marBottom w:val="0"/>
                                  <w:divBdr>
                                    <w:top w:val="none" w:sz="0" w:space="0" w:color="auto"/>
                                    <w:left w:val="none" w:sz="0" w:space="0" w:color="auto"/>
                                    <w:bottom w:val="none" w:sz="0" w:space="0" w:color="auto"/>
                                    <w:right w:val="none" w:sz="0" w:space="0" w:color="auto"/>
                                  </w:divBdr>
                                  <w:divsChild>
                                    <w:div w:id="1323586735">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19909444" TargetMode="External"/><Relationship Id="rId3" Type="http://schemas.openxmlformats.org/officeDocument/2006/relationships/settings" Target="settings.xml"/><Relationship Id="rId7" Type="http://schemas.openxmlformats.org/officeDocument/2006/relationships/hyperlink" Target="https://www.ncbi.nlm.nih.gov/pubmed/1928517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ubmed/20586014" TargetMode="External"/><Relationship Id="rId11" Type="http://schemas.openxmlformats.org/officeDocument/2006/relationships/theme" Target="theme/theme1.xml"/><Relationship Id="rId5" Type="http://schemas.openxmlformats.org/officeDocument/2006/relationships/hyperlink" Target="https://www.ncbi.nlm.nih.gov/pubmed/22372454"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ncbi.nlm.nih.gov/pubmed/198601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608</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2017-11-14T17:06:00Z</dcterms:created>
  <dcterms:modified xsi:type="dcterms:W3CDTF">2017-11-14T17:23:00Z</dcterms:modified>
</cp:coreProperties>
</file>