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AAA" w:rsidRPr="00820FC0" w:rsidRDefault="003C6729">
      <w:pPr>
        <w:rPr>
          <w:rFonts w:cstheme="minorHAnsi"/>
          <w:sz w:val="24"/>
          <w:szCs w:val="24"/>
        </w:rPr>
      </w:pPr>
      <w:r w:rsidRPr="00820FC0">
        <w:rPr>
          <w:rFonts w:cstheme="minorHAnsi"/>
          <w:sz w:val="24"/>
          <w:szCs w:val="24"/>
        </w:rPr>
        <w:t xml:space="preserve">START or SALT: Which Triage System Would You Choose </w:t>
      </w:r>
      <w:proofErr w:type="gramStart"/>
      <w:r w:rsidRPr="00820FC0">
        <w:rPr>
          <w:rFonts w:cstheme="minorHAnsi"/>
          <w:sz w:val="24"/>
          <w:szCs w:val="24"/>
        </w:rPr>
        <w:t>For</w:t>
      </w:r>
      <w:proofErr w:type="gramEnd"/>
      <w:r w:rsidRPr="00820FC0">
        <w:rPr>
          <w:rFonts w:cstheme="minorHAnsi"/>
          <w:sz w:val="24"/>
          <w:szCs w:val="24"/>
        </w:rPr>
        <w:t xml:space="preserve"> </w:t>
      </w:r>
      <w:r w:rsidR="00BE4020" w:rsidRPr="00820FC0">
        <w:rPr>
          <w:rFonts w:cstheme="minorHAnsi"/>
          <w:sz w:val="24"/>
          <w:szCs w:val="24"/>
        </w:rPr>
        <w:t xml:space="preserve">Yourself and </w:t>
      </w:r>
      <w:r w:rsidRPr="00820FC0">
        <w:rPr>
          <w:rFonts w:cstheme="minorHAnsi"/>
          <w:sz w:val="24"/>
          <w:szCs w:val="24"/>
        </w:rPr>
        <w:t>Your Community</w:t>
      </w:r>
      <w:r w:rsidR="00423C7E" w:rsidRPr="00820FC0">
        <w:rPr>
          <w:rFonts w:cstheme="minorHAnsi"/>
          <w:sz w:val="24"/>
          <w:szCs w:val="24"/>
        </w:rPr>
        <w:t>?</w:t>
      </w:r>
    </w:p>
    <w:p w:rsidR="00781AAA" w:rsidRPr="00820FC0" w:rsidRDefault="00781AAA">
      <w:pPr>
        <w:rPr>
          <w:rFonts w:cstheme="minorHAnsi"/>
          <w:sz w:val="24"/>
          <w:szCs w:val="24"/>
        </w:rPr>
      </w:pPr>
      <w:r w:rsidRPr="00820FC0">
        <w:rPr>
          <w:rFonts w:cstheme="minorHAnsi"/>
          <w:sz w:val="24"/>
          <w:szCs w:val="24"/>
        </w:rPr>
        <w:t>Paul Rega MD, FACEP; Assistant Professor, School of Population Health and the Department of Emergency Medicine, University of Toledo</w:t>
      </w:r>
    </w:p>
    <w:p w:rsidR="00781AAA" w:rsidRPr="00820FC0" w:rsidRDefault="00781AAA">
      <w:pPr>
        <w:rPr>
          <w:rFonts w:cstheme="minorHAnsi"/>
          <w:sz w:val="24"/>
          <w:szCs w:val="24"/>
        </w:rPr>
      </w:pPr>
    </w:p>
    <w:p w:rsidR="008D5EC7" w:rsidRPr="00820FC0" w:rsidRDefault="00781AAA">
      <w:pPr>
        <w:rPr>
          <w:rFonts w:cstheme="minorHAnsi"/>
          <w:sz w:val="24"/>
          <w:szCs w:val="24"/>
        </w:rPr>
      </w:pPr>
      <w:r w:rsidRPr="00820FC0">
        <w:rPr>
          <w:rFonts w:cstheme="minorHAnsi"/>
          <w:sz w:val="24"/>
          <w:szCs w:val="24"/>
        </w:rPr>
        <w:t xml:space="preserve">Statement of the problem:  </w:t>
      </w:r>
      <w:r w:rsidR="003C6729" w:rsidRPr="00820FC0">
        <w:rPr>
          <w:rFonts w:cstheme="minorHAnsi"/>
          <w:sz w:val="24"/>
          <w:szCs w:val="24"/>
        </w:rPr>
        <w:t xml:space="preserve">Triage is </w:t>
      </w:r>
      <w:r w:rsidR="00883976" w:rsidRPr="00820FC0">
        <w:rPr>
          <w:rFonts w:cstheme="minorHAnsi"/>
          <w:sz w:val="24"/>
          <w:szCs w:val="24"/>
        </w:rPr>
        <w:t>critical</w:t>
      </w:r>
      <w:r w:rsidR="00967710" w:rsidRPr="00820FC0">
        <w:rPr>
          <w:rFonts w:cstheme="minorHAnsi"/>
          <w:sz w:val="24"/>
          <w:szCs w:val="24"/>
        </w:rPr>
        <w:t xml:space="preserve"> in disaster medicine</w:t>
      </w:r>
      <w:r w:rsidR="003C6729" w:rsidRPr="00820FC0">
        <w:rPr>
          <w:rFonts w:cstheme="minorHAnsi"/>
          <w:sz w:val="24"/>
          <w:szCs w:val="24"/>
        </w:rPr>
        <w:t xml:space="preserve">. There are </w:t>
      </w:r>
      <w:proofErr w:type="gramStart"/>
      <w:r w:rsidR="003C6729" w:rsidRPr="00820FC0">
        <w:rPr>
          <w:rFonts w:cstheme="minorHAnsi"/>
          <w:sz w:val="24"/>
          <w:szCs w:val="24"/>
        </w:rPr>
        <w:t>a number of</w:t>
      </w:r>
      <w:proofErr w:type="gramEnd"/>
      <w:r w:rsidR="003C6729" w:rsidRPr="00820FC0">
        <w:rPr>
          <w:rFonts w:cstheme="minorHAnsi"/>
          <w:sz w:val="24"/>
          <w:szCs w:val="24"/>
        </w:rPr>
        <w:t xml:space="preserve"> triage tools </w:t>
      </w:r>
      <w:r w:rsidR="00883976" w:rsidRPr="00820FC0">
        <w:rPr>
          <w:rFonts w:cstheme="minorHAnsi"/>
          <w:sz w:val="24"/>
          <w:szCs w:val="24"/>
        </w:rPr>
        <w:t>globally</w:t>
      </w:r>
      <w:r w:rsidR="003C6729" w:rsidRPr="00820FC0">
        <w:rPr>
          <w:rFonts w:cstheme="minorHAnsi"/>
          <w:sz w:val="24"/>
          <w:szCs w:val="24"/>
        </w:rPr>
        <w:t>, but none has been scientifically validated.  START has the most traction because of its simplicity and its advocacy of two key medical interventions.  SALT (Sort, Assess, Life-Saving</w:t>
      </w:r>
      <w:r w:rsidR="00BE4020" w:rsidRPr="00820FC0">
        <w:rPr>
          <w:rFonts w:cstheme="minorHAnsi"/>
          <w:sz w:val="24"/>
          <w:szCs w:val="24"/>
        </w:rPr>
        <w:t xml:space="preserve"> Interventions</w:t>
      </w:r>
      <w:r w:rsidR="003C6729" w:rsidRPr="00820FC0">
        <w:rPr>
          <w:rFonts w:cstheme="minorHAnsi"/>
          <w:sz w:val="24"/>
          <w:szCs w:val="24"/>
        </w:rPr>
        <w:t>, Tr</w:t>
      </w:r>
      <w:r w:rsidR="00BE4020" w:rsidRPr="00820FC0">
        <w:rPr>
          <w:rFonts w:cstheme="minorHAnsi"/>
          <w:sz w:val="24"/>
          <w:szCs w:val="24"/>
        </w:rPr>
        <w:t>eatment</w:t>
      </w:r>
      <w:r w:rsidR="003C6729" w:rsidRPr="00820FC0">
        <w:rPr>
          <w:rFonts w:cstheme="minorHAnsi"/>
          <w:sz w:val="24"/>
          <w:szCs w:val="24"/>
        </w:rPr>
        <w:t xml:space="preserve">) has been advocated by reputable agencies in the United States such as FEMA, AMA (American Medical Association), and the National Disaster Medical System.  </w:t>
      </w:r>
      <w:proofErr w:type="gramStart"/>
      <w:r w:rsidR="003C6729" w:rsidRPr="00820FC0">
        <w:rPr>
          <w:rFonts w:cstheme="minorHAnsi"/>
          <w:sz w:val="24"/>
          <w:szCs w:val="24"/>
        </w:rPr>
        <w:t>SALT  differ</w:t>
      </w:r>
      <w:r w:rsidR="00883976" w:rsidRPr="00820FC0">
        <w:rPr>
          <w:rFonts w:cstheme="minorHAnsi"/>
          <w:sz w:val="24"/>
          <w:szCs w:val="24"/>
        </w:rPr>
        <w:t>s</w:t>
      </w:r>
      <w:proofErr w:type="gramEnd"/>
      <w:r w:rsidR="00883976" w:rsidRPr="00820FC0">
        <w:rPr>
          <w:rFonts w:cstheme="minorHAnsi"/>
          <w:sz w:val="24"/>
          <w:szCs w:val="24"/>
        </w:rPr>
        <w:t xml:space="preserve"> from</w:t>
      </w:r>
      <w:r w:rsidR="003C6729" w:rsidRPr="00820FC0">
        <w:rPr>
          <w:rFonts w:cstheme="minorHAnsi"/>
          <w:sz w:val="24"/>
          <w:szCs w:val="24"/>
        </w:rPr>
        <w:t xml:space="preserve"> START because of its recognition of victims with non-survivable conditions (Gray) and the addition of two additional medical interventions (Antidote administration and needle thoracostomy)</w:t>
      </w:r>
      <w:r w:rsidR="008D5EC7" w:rsidRPr="00820FC0">
        <w:rPr>
          <w:rFonts w:cstheme="minorHAnsi"/>
          <w:sz w:val="24"/>
          <w:szCs w:val="24"/>
        </w:rPr>
        <w:t xml:space="preserve">.  However, despite SALT’s </w:t>
      </w:r>
      <w:r w:rsidR="00883976" w:rsidRPr="00820FC0">
        <w:rPr>
          <w:rFonts w:cstheme="minorHAnsi"/>
          <w:sz w:val="24"/>
          <w:szCs w:val="24"/>
        </w:rPr>
        <w:t>proponents</w:t>
      </w:r>
      <w:r w:rsidR="008D5EC7" w:rsidRPr="00820FC0">
        <w:rPr>
          <w:rFonts w:cstheme="minorHAnsi"/>
          <w:sz w:val="24"/>
          <w:szCs w:val="24"/>
        </w:rPr>
        <w:t>, it is not as well-known among healthcare professionals and students.  The positives and negatives of both triage systems will be presented.</w:t>
      </w:r>
    </w:p>
    <w:p w:rsidR="008D5EC7" w:rsidRPr="00820FC0" w:rsidRDefault="00781AAA">
      <w:pPr>
        <w:rPr>
          <w:rFonts w:cstheme="minorHAnsi"/>
          <w:sz w:val="24"/>
          <w:szCs w:val="24"/>
        </w:rPr>
      </w:pPr>
      <w:r w:rsidRPr="00820FC0">
        <w:rPr>
          <w:rFonts w:cstheme="minorHAnsi"/>
          <w:sz w:val="24"/>
          <w:szCs w:val="24"/>
        </w:rPr>
        <w:t>Methodology &amp; Theoretical Orientation:</w:t>
      </w:r>
      <w:r w:rsidR="00E0700B" w:rsidRPr="00820FC0">
        <w:rPr>
          <w:rFonts w:cstheme="minorHAnsi"/>
          <w:sz w:val="24"/>
          <w:szCs w:val="24"/>
        </w:rPr>
        <w:t xml:space="preserve">  </w:t>
      </w:r>
      <w:r w:rsidR="008D5EC7" w:rsidRPr="00820FC0">
        <w:rPr>
          <w:rFonts w:cstheme="minorHAnsi"/>
          <w:sz w:val="24"/>
          <w:szCs w:val="24"/>
        </w:rPr>
        <w:t>The learner will receive a</w:t>
      </w:r>
      <w:r w:rsidR="00883976" w:rsidRPr="00820FC0">
        <w:rPr>
          <w:rFonts w:cstheme="minorHAnsi"/>
          <w:sz w:val="24"/>
          <w:szCs w:val="24"/>
        </w:rPr>
        <w:t>n</w:t>
      </w:r>
      <w:r w:rsidR="008D5EC7" w:rsidRPr="00820FC0">
        <w:rPr>
          <w:rFonts w:cstheme="minorHAnsi"/>
          <w:sz w:val="24"/>
          <w:szCs w:val="24"/>
        </w:rPr>
        <w:t xml:space="preserve"> introduction of triage, its history and its evolution.  Then there will be a comprehensive presentation of START</w:t>
      </w:r>
      <w:r w:rsidR="00883976" w:rsidRPr="00820FC0">
        <w:rPr>
          <w:rFonts w:cstheme="minorHAnsi"/>
          <w:sz w:val="24"/>
          <w:szCs w:val="24"/>
        </w:rPr>
        <w:t xml:space="preserve"> and </w:t>
      </w:r>
      <w:r w:rsidR="008D5EC7" w:rsidRPr="00820FC0">
        <w:rPr>
          <w:rFonts w:cstheme="minorHAnsi"/>
          <w:sz w:val="24"/>
          <w:szCs w:val="24"/>
        </w:rPr>
        <w:t>SALT</w:t>
      </w:r>
      <w:r w:rsidR="00883976" w:rsidRPr="00820FC0">
        <w:rPr>
          <w:rFonts w:cstheme="minorHAnsi"/>
          <w:sz w:val="24"/>
          <w:szCs w:val="24"/>
        </w:rPr>
        <w:t xml:space="preserve"> </w:t>
      </w:r>
      <w:r w:rsidR="008D5EC7" w:rsidRPr="00820FC0">
        <w:rPr>
          <w:rFonts w:cstheme="minorHAnsi"/>
          <w:sz w:val="24"/>
          <w:szCs w:val="24"/>
        </w:rPr>
        <w:t xml:space="preserve">triage reviewing the advantages and limitations of each.  Following this, there is one or more triage table-top exercises with which the learner will review each case scenario and determine </w:t>
      </w:r>
      <w:r w:rsidR="00883976" w:rsidRPr="00820FC0">
        <w:rPr>
          <w:rFonts w:cstheme="minorHAnsi"/>
          <w:sz w:val="24"/>
          <w:szCs w:val="24"/>
        </w:rPr>
        <w:t>which victims are</w:t>
      </w:r>
      <w:r w:rsidR="008D5EC7" w:rsidRPr="00820FC0">
        <w:rPr>
          <w:rFonts w:cstheme="minorHAnsi"/>
          <w:sz w:val="24"/>
          <w:szCs w:val="24"/>
        </w:rPr>
        <w:t xml:space="preserve"> Red, Yellow, Green, Black, and Gray.  They will also determine what</w:t>
      </w:r>
      <w:r w:rsidR="00883976" w:rsidRPr="00820FC0">
        <w:rPr>
          <w:rFonts w:cstheme="minorHAnsi"/>
          <w:sz w:val="24"/>
          <w:szCs w:val="24"/>
        </w:rPr>
        <w:t xml:space="preserve"> </w:t>
      </w:r>
      <w:r w:rsidR="008D5EC7" w:rsidRPr="00820FC0">
        <w:rPr>
          <w:rFonts w:cstheme="minorHAnsi"/>
          <w:sz w:val="24"/>
          <w:szCs w:val="24"/>
        </w:rPr>
        <w:t>medical interventions are required.  Debriefing of the scenarios will follow.</w:t>
      </w:r>
    </w:p>
    <w:p w:rsidR="00781AAA" w:rsidRPr="00820FC0" w:rsidRDefault="00781AAA">
      <w:pPr>
        <w:rPr>
          <w:rFonts w:cstheme="minorHAnsi"/>
          <w:sz w:val="24"/>
          <w:szCs w:val="24"/>
        </w:rPr>
      </w:pPr>
      <w:r w:rsidRPr="00820FC0">
        <w:rPr>
          <w:rFonts w:cstheme="minorHAnsi"/>
          <w:sz w:val="24"/>
          <w:szCs w:val="24"/>
        </w:rPr>
        <w:t>Findings:</w:t>
      </w:r>
      <w:r w:rsidR="00A9776E" w:rsidRPr="00820FC0">
        <w:rPr>
          <w:rFonts w:cstheme="minorHAnsi"/>
          <w:sz w:val="24"/>
          <w:szCs w:val="24"/>
        </w:rPr>
        <w:t xml:space="preserve">  </w:t>
      </w:r>
      <w:r w:rsidR="008D5EC7" w:rsidRPr="00820FC0">
        <w:rPr>
          <w:rFonts w:cstheme="minorHAnsi"/>
          <w:sz w:val="24"/>
          <w:szCs w:val="24"/>
        </w:rPr>
        <w:t xml:space="preserve">The learner will then determine which of the triage tools they would select for their own community and their own </w:t>
      </w:r>
      <w:r w:rsidR="00423C7E" w:rsidRPr="00820FC0">
        <w:rPr>
          <w:rFonts w:cstheme="minorHAnsi"/>
          <w:sz w:val="24"/>
          <w:szCs w:val="24"/>
        </w:rPr>
        <w:t>healthcare institution</w:t>
      </w:r>
      <w:r w:rsidR="00967710" w:rsidRPr="00820FC0">
        <w:rPr>
          <w:rFonts w:cstheme="minorHAnsi"/>
          <w:sz w:val="24"/>
          <w:szCs w:val="24"/>
        </w:rPr>
        <w:t xml:space="preserve"> based on the knowledge they acquired in class and during the drill.</w:t>
      </w:r>
    </w:p>
    <w:p w:rsidR="00781AAA" w:rsidRPr="00820FC0" w:rsidRDefault="00781AAA">
      <w:pPr>
        <w:rPr>
          <w:rFonts w:cstheme="minorHAnsi"/>
          <w:sz w:val="24"/>
          <w:szCs w:val="24"/>
        </w:rPr>
      </w:pPr>
      <w:r w:rsidRPr="00820FC0">
        <w:rPr>
          <w:rFonts w:cstheme="minorHAnsi"/>
          <w:sz w:val="24"/>
          <w:szCs w:val="24"/>
        </w:rPr>
        <w:t>Conclusion &amp; Significance:</w:t>
      </w:r>
      <w:r w:rsidR="00E340FE" w:rsidRPr="00820FC0">
        <w:rPr>
          <w:rFonts w:cstheme="minorHAnsi"/>
          <w:sz w:val="24"/>
          <w:szCs w:val="24"/>
        </w:rPr>
        <w:t xml:space="preserve">  </w:t>
      </w:r>
      <w:r w:rsidR="00967710" w:rsidRPr="00820FC0">
        <w:rPr>
          <w:rFonts w:cstheme="minorHAnsi"/>
          <w:sz w:val="24"/>
          <w:szCs w:val="24"/>
        </w:rPr>
        <w:t>Triage is a critical aspect of emergency and disaster medicine.  The presentation of triage in general and START and SALT systems in greater detail will empower nurses to take the lead in improving their own triage skills and selecting the best tool for their hospitals and their community.</w:t>
      </w:r>
    </w:p>
    <w:p w:rsidR="0023222F" w:rsidRPr="00820FC0" w:rsidRDefault="0023222F">
      <w:pPr>
        <w:rPr>
          <w:rFonts w:cstheme="minorHAnsi"/>
          <w:sz w:val="24"/>
          <w:szCs w:val="24"/>
        </w:rPr>
      </w:pPr>
      <w:r w:rsidRPr="00820FC0">
        <w:rPr>
          <w:rFonts w:cstheme="minorHAnsi"/>
          <w:sz w:val="24"/>
          <w:szCs w:val="24"/>
        </w:rPr>
        <w:t>Recent Publications</w:t>
      </w:r>
    </w:p>
    <w:p w:rsidR="0023222F" w:rsidRPr="00820FC0" w:rsidRDefault="00883976" w:rsidP="00883976">
      <w:pPr>
        <w:numPr>
          <w:ilvl w:val="0"/>
          <w:numId w:val="2"/>
        </w:numPr>
        <w:spacing w:after="0" w:line="240" w:lineRule="auto"/>
        <w:rPr>
          <w:rFonts w:cstheme="minorHAnsi"/>
          <w:sz w:val="24"/>
          <w:szCs w:val="24"/>
        </w:rPr>
      </w:pPr>
      <w:r w:rsidRPr="00820FC0">
        <w:rPr>
          <w:rFonts w:cstheme="minorHAnsi"/>
          <w:sz w:val="24"/>
          <w:szCs w:val="24"/>
        </w:rPr>
        <w:t>Rega P, Khattab E.  START-PC &amp; SALT-PC:  A Paradigm Shift in Triage.  Prehospital and Disaster Medicine.  2013; 28 (</w:t>
      </w:r>
      <w:proofErr w:type="spellStart"/>
      <w:r w:rsidRPr="00820FC0">
        <w:rPr>
          <w:rFonts w:cstheme="minorHAnsi"/>
          <w:sz w:val="24"/>
          <w:szCs w:val="24"/>
        </w:rPr>
        <w:t>Suppl</w:t>
      </w:r>
      <w:proofErr w:type="spellEnd"/>
      <w:r w:rsidRPr="00820FC0">
        <w:rPr>
          <w:rFonts w:cstheme="minorHAnsi"/>
          <w:sz w:val="24"/>
          <w:szCs w:val="24"/>
        </w:rPr>
        <w:t xml:space="preserve"> 1): s31.</w:t>
      </w:r>
    </w:p>
    <w:p w:rsidR="00883976" w:rsidRPr="00820FC0" w:rsidRDefault="00883976" w:rsidP="00883976">
      <w:pPr>
        <w:numPr>
          <w:ilvl w:val="0"/>
          <w:numId w:val="2"/>
        </w:numPr>
        <w:spacing w:after="0" w:line="240" w:lineRule="auto"/>
        <w:rPr>
          <w:rFonts w:cstheme="minorHAnsi"/>
          <w:sz w:val="24"/>
          <w:szCs w:val="24"/>
        </w:rPr>
      </w:pPr>
      <w:r w:rsidRPr="00820FC0">
        <w:rPr>
          <w:rFonts w:cstheme="minorHAnsi"/>
          <w:sz w:val="24"/>
          <w:szCs w:val="24"/>
        </w:rPr>
        <w:t xml:space="preserve">Rega P.  EMS in Disasters in </w:t>
      </w:r>
      <w:r w:rsidRPr="00820FC0">
        <w:rPr>
          <w:rFonts w:cstheme="minorHAnsi"/>
          <w:i/>
          <w:sz w:val="24"/>
          <w:szCs w:val="24"/>
        </w:rPr>
        <w:t>Textbook of Emergency Medicine</w:t>
      </w:r>
      <w:r w:rsidRPr="00820FC0">
        <w:rPr>
          <w:rFonts w:cstheme="minorHAnsi"/>
          <w:sz w:val="24"/>
          <w:szCs w:val="24"/>
        </w:rPr>
        <w:t xml:space="preserve">.  Publisher: </w:t>
      </w:r>
      <w:r w:rsidRPr="00820FC0">
        <w:rPr>
          <w:rStyle w:val="HTMLTypewriter"/>
          <w:rFonts w:asciiTheme="minorHAnsi" w:eastAsiaTheme="minorHAnsi" w:hAnsiTheme="minorHAnsi" w:cstheme="minorHAnsi"/>
          <w:color w:val="000000"/>
          <w:sz w:val="24"/>
          <w:szCs w:val="24"/>
        </w:rPr>
        <w:t xml:space="preserve">Wolters Kluwer Heath (Lippincott).  </w:t>
      </w:r>
      <w:proofErr w:type="gramStart"/>
      <w:r w:rsidRPr="00820FC0">
        <w:rPr>
          <w:rStyle w:val="HTMLTypewriter"/>
          <w:rFonts w:asciiTheme="minorHAnsi" w:eastAsiaTheme="minorHAnsi" w:hAnsiTheme="minorHAnsi" w:cstheme="minorHAnsi"/>
          <w:color w:val="000000"/>
          <w:sz w:val="24"/>
          <w:szCs w:val="24"/>
        </w:rPr>
        <w:t>November,</w:t>
      </w:r>
      <w:proofErr w:type="gramEnd"/>
      <w:r w:rsidRPr="00820FC0">
        <w:rPr>
          <w:rStyle w:val="HTMLTypewriter"/>
          <w:rFonts w:asciiTheme="minorHAnsi" w:eastAsiaTheme="minorHAnsi" w:hAnsiTheme="minorHAnsi" w:cstheme="minorHAnsi"/>
          <w:color w:val="000000"/>
          <w:sz w:val="24"/>
          <w:szCs w:val="24"/>
        </w:rPr>
        <w:t xml:space="preserve"> 2010.</w:t>
      </w:r>
    </w:p>
    <w:p w:rsidR="00A97813" w:rsidRPr="00820FC0" w:rsidRDefault="00A97813" w:rsidP="00A97813">
      <w:pPr>
        <w:pStyle w:val="ListParagraph"/>
        <w:numPr>
          <w:ilvl w:val="0"/>
          <w:numId w:val="2"/>
        </w:numPr>
        <w:shd w:val="clear" w:color="auto" w:fill="FFFFFF"/>
        <w:spacing w:before="120" w:after="360" w:line="240" w:lineRule="auto"/>
        <w:ind w:right="2"/>
        <w:rPr>
          <w:rFonts w:eastAsia="Times New Roman" w:cstheme="minorHAnsi"/>
          <w:sz w:val="24"/>
          <w:szCs w:val="24"/>
        </w:rPr>
      </w:pPr>
      <w:hyperlink r:id="rId5" w:history="1">
        <w:r w:rsidRPr="00820FC0">
          <w:rPr>
            <w:rFonts w:eastAsia="Times New Roman" w:cstheme="minorHAnsi"/>
            <w:sz w:val="24"/>
            <w:szCs w:val="24"/>
          </w:rPr>
          <w:t>Kahn CA</w:t>
        </w:r>
      </w:hyperlink>
      <w:r w:rsidRPr="00820FC0">
        <w:rPr>
          <w:rFonts w:eastAsia="Times New Roman" w:cstheme="minorHAnsi"/>
          <w:sz w:val="24"/>
          <w:szCs w:val="24"/>
        </w:rPr>
        <w:t xml:space="preserve">, </w:t>
      </w:r>
      <w:hyperlink r:id="rId6" w:history="1">
        <w:r w:rsidRPr="00820FC0">
          <w:rPr>
            <w:rFonts w:eastAsia="Times New Roman" w:cstheme="minorHAnsi"/>
            <w:sz w:val="24"/>
            <w:szCs w:val="24"/>
          </w:rPr>
          <w:t>Schultz CH</w:t>
        </w:r>
      </w:hyperlink>
      <w:r w:rsidRPr="00820FC0">
        <w:rPr>
          <w:rFonts w:eastAsia="Times New Roman" w:cstheme="minorHAnsi"/>
          <w:sz w:val="24"/>
          <w:szCs w:val="24"/>
        </w:rPr>
        <w:t xml:space="preserve">, </w:t>
      </w:r>
      <w:hyperlink r:id="rId7" w:history="1">
        <w:r w:rsidRPr="00820FC0">
          <w:rPr>
            <w:rFonts w:eastAsia="Times New Roman" w:cstheme="minorHAnsi"/>
            <w:sz w:val="24"/>
            <w:szCs w:val="24"/>
          </w:rPr>
          <w:t>Miller KT</w:t>
        </w:r>
      </w:hyperlink>
      <w:r w:rsidRPr="00820FC0">
        <w:rPr>
          <w:rFonts w:eastAsia="Times New Roman" w:cstheme="minorHAnsi"/>
          <w:sz w:val="24"/>
          <w:szCs w:val="24"/>
        </w:rPr>
        <w:t xml:space="preserve">, </w:t>
      </w:r>
      <w:hyperlink r:id="rId8" w:history="1">
        <w:r w:rsidRPr="00820FC0">
          <w:rPr>
            <w:rFonts w:eastAsia="Times New Roman" w:cstheme="minorHAnsi"/>
            <w:sz w:val="24"/>
            <w:szCs w:val="24"/>
          </w:rPr>
          <w:t>Anderson CL</w:t>
        </w:r>
      </w:hyperlink>
      <w:r w:rsidRPr="00820FC0">
        <w:rPr>
          <w:rFonts w:eastAsia="Times New Roman" w:cstheme="minorHAnsi"/>
          <w:sz w:val="24"/>
          <w:szCs w:val="24"/>
        </w:rPr>
        <w:t>.</w:t>
      </w:r>
      <w:r w:rsidRPr="00820FC0">
        <w:rPr>
          <w:rFonts w:eastAsia="Times New Roman" w:cstheme="minorHAnsi"/>
          <w:sz w:val="24"/>
          <w:szCs w:val="24"/>
        </w:rPr>
        <w:t xml:space="preserve">  </w:t>
      </w:r>
      <w:r w:rsidRPr="00820FC0">
        <w:rPr>
          <w:rFonts w:eastAsia="Times New Roman" w:cstheme="minorHAnsi"/>
          <w:bCs/>
          <w:kern w:val="36"/>
          <w:sz w:val="24"/>
          <w:szCs w:val="24"/>
        </w:rPr>
        <w:t>Does START triage work? An outcomes assessment after a disaster.</w:t>
      </w:r>
      <w:r w:rsidRPr="00820FC0">
        <w:rPr>
          <w:rFonts w:eastAsia="Times New Roman" w:cstheme="minorHAnsi"/>
          <w:bCs/>
          <w:kern w:val="36"/>
          <w:sz w:val="24"/>
          <w:szCs w:val="24"/>
        </w:rPr>
        <w:t xml:space="preserve">  </w:t>
      </w:r>
      <w:hyperlink r:id="rId9" w:tooltip="Annals of emergency medicine." w:history="1">
        <w:r w:rsidR="00883976" w:rsidRPr="00820FC0">
          <w:rPr>
            <w:rFonts w:eastAsia="Times New Roman" w:cstheme="minorHAnsi"/>
            <w:sz w:val="24"/>
            <w:szCs w:val="24"/>
          </w:rPr>
          <w:t xml:space="preserve">Ann </w:t>
        </w:r>
        <w:proofErr w:type="spellStart"/>
        <w:r w:rsidR="00883976" w:rsidRPr="00820FC0">
          <w:rPr>
            <w:rFonts w:eastAsia="Times New Roman" w:cstheme="minorHAnsi"/>
            <w:sz w:val="24"/>
            <w:szCs w:val="24"/>
          </w:rPr>
          <w:t>Emerg</w:t>
        </w:r>
        <w:proofErr w:type="spellEnd"/>
        <w:r w:rsidR="00883976" w:rsidRPr="00820FC0">
          <w:rPr>
            <w:rFonts w:eastAsia="Times New Roman" w:cstheme="minorHAnsi"/>
            <w:sz w:val="24"/>
            <w:szCs w:val="24"/>
          </w:rPr>
          <w:t xml:space="preserve"> Med.</w:t>
        </w:r>
      </w:hyperlink>
      <w:r w:rsidR="00883976" w:rsidRPr="00820FC0">
        <w:rPr>
          <w:rFonts w:eastAsia="Times New Roman" w:cstheme="minorHAnsi"/>
          <w:sz w:val="24"/>
          <w:szCs w:val="24"/>
        </w:rPr>
        <w:t xml:space="preserve"> 2009 Sep;54(3):424-30, 430.e1. </w:t>
      </w:r>
      <w:proofErr w:type="spellStart"/>
      <w:r w:rsidR="00883976" w:rsidRPr="00820FC0">
        <w:rPr>
          <w:rFonts w:eastAsia="Times New Roman" w:cstheme="minorHAnsi"/>
          <w:sz w:val="24"/>
          <w:szCs w:val="24"/>
        </w:rPr>
        <w:t>doi</w:t>
      </w:r>
      <w:proofErr w:type="spellEnd"/>
      <w:r w:rsidR="00883976" w:rsidRPr="00820FC0">
        <w:rPr>
          <w:rFonts w:eastAsia="Times New Roman" w:cstheme="minorHAnsi"/>
          <w:sz w:val="24"/>
          <w:szCs w:val="24"/>
        </w:rPr>
        <w:t xml:space="preserve">: 10.1016/j.annemergmed.2008.12.035. </w:t>
      </w:r>
      <w:proofErr w:type="spellStart"/>
      <w:r w:rsidR="00883976" w:rsidRPr="00820FC0">
        <w:rPr>
          <w:rFonts w:eastAsia="Times New Roman" w:cstheme="minorHAnsi"/>
          <w:sz w:val="24"/>
          <w:szCs w:val="24"/>
        </w:rPr>
        <w:t>Epub</w:t>
      </w:r>
      <w:proofErr w:type="spellEnd"/>
      <w:r w:rsidR="00883976" w:rsidRPr="00820FC0">
        <w:rPr>
          <w:rFonts w:eastAsia="Times New Roman" w:cstheme="minorHAnsi"/>
          <w:sz w:val="24"/>
          <w:szCs w:val="24"/>
        </w:rPr>
        <w:t xml:space="preserve"> 2009 Feb 5.</w:t>
      </w:r>
    </w:p>
    <w:p w:rsidR="00883976" w:rsidRPr="00820FC0" w:rsidRDefault="00A97813" w:rsidP="00A97813">
      <w:pPr>
        <w:pStyle w:val="ListParagraph"/>
        <w:numPr>
          <w:ilvl w:val="0"/>
          <w:numId w:val="2"/>
        </w:numPr>
        <w:shd w:val="clear" w:color="auto" w:fill="FFFFFF"/>
        <w:spacing w:before="120" w:after="360" w:line="240" w:lineRule="auto"/>
        <w:ind w:right="2"/>
        <w:rPr>
          <w:rFonts w:eastAsia="Times New Roman" w:cstheme="minorHAnsi"/>
          <w:sz w:val="24"/>
          <w:szCs w:val="24"/>
        </w:rPr>
      </w:pPr>
      <w:r w:rsidRPr="00820FC0">
        <w:rPr>
          <w:rFonts w:cstheme="minorHAnsi"/>
          <w:sz w:val="24"/>
          <w:szCs w:val="24"/>
        </w:rPr>
        <w:lastRenderedPageBreak/>
        <w:t>Lerner</w:t>
      </w:r>
      <w:r w:rsidRPr="00820FC0">
        <w:rPr>
          <w:rFonts w:cstheme="minorHAnsi"/>
          <w:sz w:val="24"/>
          <w:szCs w:val="24"/>
        </w:rPr>
        <w:t xml:space="preserve"> EB</w:t>
      </w:r>
      <w:r w:rsidRPr="00820FC0">
        <w:rPr>
          <w:rFonts w:cstheme="minorHAnsi"/>
          <w:sz w:val="24"/>
          <w:szCs w:val="24"/>
        </w:rPr>
        <w:t>, Schwartz</w:t>
      </w:r>
      <w:r w:rsidRPr="00820FC0">
        <w:rPr>
          <w:rFonts w:cstheme="minorHAnsi"/>
          <w:sz w:val="24"/>
          <w:szCs w:val="24"/>
        </w:rPr>
        <w:t xml:space="preserve"> RB</w:t>
      </w:r>
      <w:r w:rsidRPr="00820FC0">
        <w:rPr>
          <w:rFonts w:cstheme="minorHAnsi"/>
          <w:sz w:val="24"/>
          <w:szCs w:val="24"/>
        </w:rPr>
        <w:t xml:space="preserve">, </w:t>
      </w:r>
      <w:proofErr w:type="spellStart"/>
      <w:r w:rsidRPr="00820FC0">
        <w:rPr>
          <w:rFonts w:cstheme="minorHAnsi"/>
          <w:sz w:val="24"/>
          <w:szCs w:val="24"/>
        </w:rPr>
        <w:t>Coule</w:t>
      </w:r>
      <w:proofErr w:type="spellEnd"/>
      <w:r w:rsidRPr="00820FC0">
        <w:rPr>
          <w:rFonts w:cstheme="minorHAnsi"/>
          <w:sz w:val="24"/>
          <w:szCs w:val="24"/>
        </w:rPr>
        <w:t xml:space="preserve"> PL</w:t>
      </w:r>
      <w:r w:rsidRPr="00820FC0">
        <w:rPr>
          <w:rFonts w:cstheme="minorHAnsi"/>
          <w:sz w:val="24"/>
          <w:szCs w:val="24"/>
        </w:rPr>
        <w:t>, Weinstein</w:t>
      </w:r>
      <w:r w:rsidRPr="00820FC0">
        <w:rPr>
          <w:rFonts w:cstheme="minorHAnsi"/>
          <w:sz w:val="24"/>
          <w:szCs w:val="24"/>
        </w:rPr>
        <w:t xml:space="preserve"> ES</w:t>
      </w:r>
      <w:r w:rsidRPr="00820FC0">
        <w:rPr>
          <w:rFonts w:cstheme="minorHAnsi"/>
          <w:sz w:val="24"/>
          <w:szCs w:val="24"/>
        </w:rPr>
        <w:t>,</w:t>
      </w:r>
      <w:r w:rsidRPr="00820FC0">
        <w:rPr>
          <w:rFonts w:cstheme="minorHAnsi"/>
          <w:sz w:val="24"/>
          <w:szCs w:val="24"/>
        </w:rPr>
        <w:t xml:space="preserve"> </w:t>
      </w:r>
      <w:r w:rsidRPr="00820FC0">
        <w:rPr>
          <w:rFonts w:cstheme="minorHAnsi"/>
          <w:sz w:val="24"/>
          <w:szCs w:val="24"/>
        </w:rPr>
        <w:t>Cone</w:t>
      </w:r>
      <w:r w:rsidRPr="00820FC0">
        <w:rPr>
          <w:rFonts w:cstheme="minorHAnsi"/>
          <w:sz w:val="24"/>
          <w:szCs w:val="24"/>
        </w:rPr>
        <w:t xml:space="preserve"> DC</w:t>
      </w:r>
      <w:r w:rsidRPr="00820FC0">
        <w:rPr>
          <w:rFonts w:cstheme="minorHAnsi"/>
          <w:sz w:val="24"/>
          <w:szCs w:val="24"/>
        </w:rPr>
        <w:t>,</w:t>
      </w:r>
      <w:r w:rsidRPr="00820FC0">
        <w:rPr>
          <w:rFonts w:cstheme="minorHAnsi"/>
          <w:sz w:val="24"/>
          <w:szCs w:val="24"/>
        </w:rPr>
        <w:t xml:space="preserve"> et al.  </w:t>
      </w:r>
      <w:r w:rsidRPr="00820FC0">
        <w:rPr>
          <w:rFonts w:cstheme="minorHAnsi"/>
          <w:sz w:val="24"/>
          <w:szCs w:val="24"/>
        </w:rPr>
        <w:t>Mass Casualty Triage: An Evaluation of the Data and</w:t>
      </w:r>
      <w:r w:rsidRPr="00820FC0">
        <w:rPr>
          <w:rFonts w:cstheme="minorHAnsi"/>
          <w:sz w:val="24"/>
          <w:szCs w:val="24"/>
        </w:rPr>
        <w:t xml:space="preserve"> </w:t>
      </w:r>
      <w:r w:rsidRPr="00820FC0">
        <w:rPr>
          <w:rFonts w:cstheme="minorHAnsi"/>
          <w:sz w:val="24"/>
          <w:szCs w:val="24"/>
        </w:rPr>
        <w:t>Development of a Proposed National Guideline</w:t>
      </w:r>
      <w:r w:rsidRPr="00820FC0">
        <w:rPr>
          <w:rFonts w:cstheme="minorHAnsi"/>
          <w:sz w:val="24"/>
          <w:szCs w:val="24"/>
        </w:rPr>
        <w:t xml:space="preserve">.  </w:t>
      </w:r>
      <w:r w:rsidRPr="00820FC0">
        <w:rPr>
          <w:rFonts w:cstheme="minorHAnsi"/>
          <w:bCs/>
          <w:sz w:val="24"/>
          <w:szCs w:val="24"/>
        </w:rPr>
        <w:t>Disaster Medicine and Public Health Preparedness</w:t>
      </w:r>
      <w:r w:rsidRPr="00820FC0">
        <w:rPr>
          <w:rFonts w:cstheme="minorHAnsi"/>
          <w:bCs/>
          <w:sz w:val="24"/>
          <w:szCs w:val="24"/>
        </w:rPr>
        <w:t xml:space="preserve">.  </w:t>
      </w:r>
      <w:r w:rsidRPr="00820FC0">
        <w:rPr>
          <w:rFonts w:cstheme="minorHAnsi"/>
          <w:sz w:val="24"/>
          <w:szCs w:val="24"/>
        </w:rPr>
        <w:t xml:space="preserve">2008 Sep;2 </w:t>
      </w:r>
      <w:proofErr w:type="spellStart"/>
      <w:r w:rsidRPr="00820FC0">
        <w:rPr>
          <w:rFonts w:cstheme="minorHAnsi"/>
          <w:sz w:val="24"/>
          <w:szCs w:val="24"/>
        </w:rPr>
        <w:t>Suppl</w:t>
      </w:r>
      <w:proofErr w:type="spellEnd"/>
      <w:r w:rsidRPr="00820FC0">
        <w:rPr>
          <w:rFonts w:cstheme="minorHAnsi"/>
          <w:sz w:val="24"/>
          <w:szCs w:val="24"/>
        </w:rPr>
        <w:t xml:space="preserve"> 1:</w:t>
      </w:r>
      <w:r w:rsidRPr="00820FC0">
        <w:rPr>
          <w:rFonts w:cstheme="minorHAnsi"/>
          <w:sz w:val="24"/>
          <w:szCs w:val="24"/>
        </w:rPr>
        <w:t xml:space="preserve"> </w:t>
      </w:r>
      <w:r w:rsidRPr="00820FC0">
        <w:rPr>
          <w:rFonts w:cstheme="minorHAnsi"/>
          <w:sz w:val="24"/>
          <w:szCs w:val="24"/>
        </w:rPr>
        <w:t>S25-34.</w:t>
      </w:r>
    </w:p>
    <w:p w:rsidR="00A97813" w:rsidRPr="00820FC0" w:rsidRDefault="0094592A" w:rsidP="00A97813">
      <w:pPr>
        <w:pStyle w:val="ListParagraph"/>
        <w:numPr>
          <w:ilvl w:val="0"/>
          <w:numId w:val="2"/>
        </w:numPr>
        <w:shd w:val="clear" w:color="auto" w:fill="FFFFFF"/>
        <w:spacing w:before="120" w:after="360" w:line="240" w:lineRule="auto"/>
        <w:ind w:right="2"/>
        <w:rPr>
          <w:rFonts w:eastAsia="Times New Roman" w:cstheme="minorHAnsi"/>
          <w:sz w:val="24"/>
          <w:szCs w:val="24"/>
        </w:rPr>
      </w:pPr>
      <w:r w:rsidRPr="00820FC0">
        <w:rPr>
          <w:rFonts w:cstheme="minorHAnsi"/>
          <w:sz w:val="24"/>
          <w:szCs w:val="24"/>
        </w:rPr>
        <w:t xml:space="preserve">Silvestri S, Field A, </w:t>
      </w:r>
      <w:proofErr w:type="spellStart"/>
      <w:r w:rsidRPr="00820FC0">
        <w:rPr>
          <w:rFonts w:cstheme="minorHAnsi"/>
          <w:sz w:val="24"/>
          <w:szCs w:val="24"/>
        </w:rPr>
        <w:t>Mangalat</w:t>
      </w:r>
      <w:proofErr w:type="spellEnd"/>
      <w:r w:rsidRPr="00820FC0">
        <w:rPr>
          <w:rFonts w:cstheme="minorHAnsi"/>
          <w:sz w:val="24"/>
          <w:szCs w:val="24"/>
        </w:rPr>
        <w:t xml:space="preserve"> N, Weatherford T, Hunter C,</w:t>
      </w:r>
      <w:r w:rsidRPr="00820FC0">
        <w:rPr>
          <w:rFonts w:cstheme="minorHAnsi"/>
          <w:sz w:val="24"/>
          <w:szCs w:val="24"/>
        </w:rPr>
        <w:t xml:space="preserve"> et al.  </w:t>
      </w:r>
      <w:hyperlink r:id="rId10" w:history="1">
        <w:r w:rsidRPr="00820FC0">
          <w:rPr>
            <w:rStyle w:val="Hyperlink"/>
            <w:rFonts w:cstheme="minorHAnsi"/>
            <w:color w:val="auto"/>
            <w:sz w:val="24"/>
            <w:szCs w:val="24"/>
            <w:u w:val="none"/>
          </w:rPr>
          <w:t xml:space="preserve">Comparison of START and </w:t>
        </w:r>
        <w:r w:rsidRPr="00820FC0">
          <w:rPr>
            <w:rStyle w:val="Hyperlink"/>
            <w:rFonts w:cstheme="minorHAnsi"/>
            <w:bCs/>
            <w:color w:val="auto"/>
            <w:sz w:val="24"/>
            <w:szCs w:val="24"/>
            <w:u w:val="none"/>
          </w:rPr>
          <w:t>SALT</w:t>
        </w:r>
        <w:r w:rsidRPr="00820FC0">
          <w:rPr>
            <w:rStyle w:val="Hyperlink"/>
            <w:rFonts w:cstheme="minorHAnsi"/>
            <w:color w:val="auto"/>
            <w:sz w:val="24"/>
            <w:szCs w:val="24"/>
            <w:u w:val="none"/>
          </w:rPr>
          <w:t xml:space="preserve"> </w:t>
        </w:r>
        <w:r w:rsidRPr="00820FC0">
          <w:rPr>
            <w:rStyle w:val="Hyperlink"/>
            <w:rFonts w:cstheme="minorHAnsi"/>
            <w:bCs/>
            <w:color w:val="auto"/>
            <w:sz w:val="24"/>
            <w:szCs w:val="24"/>
            <w:u w:val="none"/>
          </w:rPr>
          <w:t>triage</w:t>
        </w:r>
        <w:r w:rsidRPr="00820FC0">
          <w:rPr>
            <w:rStyle w:val="Hyperlink"/>
            <w:rFonts w:cstheme="minorHAnsi"/>
            <w:color w:val="auto"/>
            <w:sz w:val="24"/>
            <w:szCs w:val="24"/>
            <w:u w:val="none"/>
          </w:rPr>
          <w:t xml:space="preserve"> methodologies to reference standard definitions and to a field mass casualty simulation.</w:t>
        </w:r>
      </w:hyperlink>
      <w:r w:rsidRPr="00820FC0">
        <w:rPr>
          <w:rFonts w:cstheme="minorHAnsi"/>
          <w:sz w:val="24"/>
          <w:szCs w:val="24"/>
        </w:rPr>
        <w:t xml:space="preserve">  </w:t>
      </w:r>
      <w:r w:rsidRPr="00820FC0">
        <w:rPr>
          <w:rStyle w:val="jrnl"/>
          <w:rFonts w:cstheme="minorHAnsi"/>
          <w:sz w:val="24"/>
          <w:szCs w:val="24"/>
        </w:rPr>
        <w:t>Am J Disaster Med</w:t>
      </w:r>
      <w:r w:rsidRPr="00820FC0">
        <w:rPr>
          <w:rFonts w:cstheme="minorHAnsi"/>
          <w:sz w:val="24"/>
          <w:szCs w:val="24"/>
        </w:rPr>
        <w:t>. 2017 Winter;12(1):27-33.</w:t>
      </w:r>
    </w:p>
    <w:p w:rsidR="00820FC0" w:rsidRDefault="00820FC0" w:rsidP="00820FC0">
      <w:pPr>
        <w:shd w:val="clear" w:color="auto" w:fill="FFFFFF"/>
        <w:spacing w:before="120" w:after="360" w:line="240" w:lineRule="auto"/>
        <w:ind w:right="2"/>
        <w:rPr>
          <w:rFonts w:eastAsia="Times New Roman" w:cstheme="minorHAnsi"/>
          <w:sz w:val="24"/>
          <w:szCs w:val="24"/>
        </w:rPr>
      </w:pPr>
    </w:p>
    <w:p w:rsidR="00820FC0" w:rsidRDefault="00820FC0" w:rsidP="00820FC0">
      <w:r>
        <w:t>Professional Biography of Paul Rega, MD, FACEP</w:t>
      </w:r>
    </w:p>
    <w:p w:rsidR="00820FC0" w:rsidRDefault="00820FC0" w:rsidP="00820FC0">
      <w:r>
        <w:t xml:space="preserve">Dr. Rega has been an emergency physician for over thirty years and has been board-certified in Emergency Medicine and Pediatric Emergency Medicine until his retirement.  </w:t>
      </w:r>
    </w:p>
    <w:p w:rsidR="00820FC0" w:rsidRDefault="00820FC0" w:rsidP="00820FC0">
      <w:pPr>
        <w:pStyle w:val="NormalWeb"/>
        <w:spacing w:before="0" w:beforeAutospacing="0" w:after="0" w:afterAutospacing="0"/>
      </w:pPr>
      <w:bookmarkStart w:id="0" w:name="_GoBack"/>
      <w:bookmarkEnd w:id="0"/>
      <w:proofErr w:type="gramStart"/>
      <w:r>
        <w:t>At the present time</w:t>
      </w:r>
      <w:proofErr w:type="gramEnd"/>
      <w:r>
        <w:t xml:space="preserve">, Dr. </w:t>
      </w:r>
      <w:proofErr w:type="spellStart"/>
      <w:r>
        <w:t>Rega’s</w:t>
      </w:r>
      <w:proofErr w:type="spellEnd"/>
      <w:r>
        <w:t xml:space="preserve"> activities have been concentrated in education and research at The University of Toledo College of Medicine where he is an Assistant Professor in both the Department of Public Health &amp; Preventive Medicine and the Department of Emergency Medicine.  He currently has </w:t>
      </w:r>
      <w:proofErr w:type="gramStart"/>
      <w:r>
        <w:t>a number of</w:t>
      </w:r>
      <w:proofErr w:type="gramEnd"/>
      <w:r>
        <w:t xml:space="preserve"> semester courses relating to pandemics, global health, and disasters.  Virtually </w:t>
      </w:r>
      <w:proofErr w:type="gramStart"/>
      <w:r>
        <w:t>all of</w:t>
      </w:r>
      <w:proofErr w:type="gramEnd"/>
      <w:r>
        <w:t xml:space="preserve"> his educational endeavors are multidisciplinary in nature (Medicine, Nursing, PA, Pharmacology, and Public Health) and make extensive use of simulation (Table-top and Functional exercises, High-Fidelity Simulations, Hybrid simulations, etc.).</w:t>
      </w:r>
    </w:p>
    <w:p w:rsidR="00820FC0" w:rsidRDefault="00820FC0" w:rsidP="00820FC0">
      <w:pPr>
        <w:pStyle w:val="NormalWeb"/>
        <w:spacing w:before="0" w:beforeAutospacing="0" w:after="0" w:afterAutospacing="0"/>
      </w:pPr>
    </w:p>
    <w:p w:rsidR="00820FC0" w:rsidRPr="003C7536" w:rsidRDefault="00820FC0" w:rsidP="00820FC0">
      <w:pPr>
        <w:pStyle w:val="NormalWeb"/>
        <w:spacing w:before="0" w:beforeAutospacing="0" w:after="0" w:afterAutospacing="0"/>
      </w:pPr>
      <w:r>
        <w:t xml:space="preserve">This association with the university has also resulted in </w:t>
      </w:r>
      <w:proofErr w:type="gramStart"/>
      <w:r>
        <w:t>a number of</w:t>
      </w:r>
      <w:proofErr w:type="gramEnd"/>
      <w:r>
        <w:t xml:space="preserve"> publications in peer-reviewed journals and grants associated with disaster medicine, simulation medicine, and pandemic preparedness and response.  </w:t>
      </w:r>
    </w:p>
    <w:p w:rsidR="00820FC0" w:rsidRPr="00820FC0" w:rsidRDefault="00820FC0" w:rsidP="00820FC0">
      <w:pPr>
        <w:shd w:val="clear" w:color="auto" w:fill="FFFFFF"/>
        <w:spacing w:before="120" w:after="360" w:line="240" w:lineRule="auto"/>
        <w:ind w:right="2"/>
        <w:rPr>
          <w:rFonts w:eastAsia="Times New Roman" w:cstheme="minorHAnsi"/>
          <w:sz w:val="24"/>
          <w:szCs w:val="24"/>
        </w:rPr>
      </w:pPr>
    </w:p>
    <w:sectPr w:rsidR="00820FC0" w:rsidRPr="00820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5B8C"/>
    <w:multiLevelType w:val="hybridMultilevel"/>
    <w:tmpl w:val="190A134E"/>
    <w:lvl w:ilvl="0" w:tplc="4CEA3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43B86"/>
    <w:multiLevelType w:val="hybridMultilevel"/>
    <w:tmpl w:val="70A6F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C10F6"/>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76E43"/>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817C50"/>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EA051E"/>
    <w:multiLevelType w:val="hybridMultilevel"/>
    <w:tmpl w:val="72AA4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AA"/>
    <w:rsid w:val="0004158F"/>
    <w:rsid w:val="00093C45"/>
    <w:rsid w:val="000E33CC"/>
    <w:rsid w:val="001A21D9"/>
    <w:rsid w:val="001F01D4"/>
    <w:rsid w:val="0023222F"/>
    <w:rsid w:val="002D5DB4"/>
    <w:rsid w:val="002E0DBB"/>
    <w:rsid w:val="003C6729"/>
    <w:rsid w:val="0040636B"/>
    <w:rsid w:val="00423C7E"/>
    <w:rsid w:val="004D6860"/>
    <w:rsid w:val="00503AD7"/>
    <w:rsid w:val="00544770"/>
    <w:rsid w:val="00570041"/>
    <w:rsid w:val="00584DCD"/>
    <w:rsid w:val="005C0D9C"/>
    <w:rsid w:val="005D4521"/>
    <w:rsid w:val="005F7A6D"/>
    <w:rsid w:val="00654F51"/>
    <w:rsid w:val="00662C58"/>
    <w:rsid w:val="006A4B78"/>
    <w:rsid w:val="006F177D"/>
    <w:rsid w:val="00743769"/>
    <w:rsid w:val="00781AAA"/>
    <w:rsid w:val="007E70BC"/>
    <w:rsid w:val="00820FC0"/>
    <w:rsid w:val="008801BA"/>
    <w:rsid w:val="008835E8"/>
    <w:rsid w:val="00883976"/>
    <w:rsid w:val="008876FF"/>
    <w:rsid w:val="008D5EC7"/>
    <w:rsid w:val="008F4AAA"/>
    <w:rsid w:val="009146D1"/>
    <w:rsid w:val="00941A9E"/>
    <w:rsid w:val="0094592A"/>
    <w:rsid w:val="00967710"/>
    <w:rsid w:val="00A733CB"/>
    <w:rsid w:val="00A9776E"/>
    <w:rsid w:val="00A97813"/>
    <w:rsid w:val="00AC25C1"/>
    <w:rsid w:val="00B474A3"/>
    <w:rsid w:val="00B90046"/>
    <w:rsid w:val="00BB1438"/>
    <w:rsid w:val="00BE4020"/>
    <w:rsid w:val="00C0582B"/>
    <w:rsid w:val="00D22525"/>
    <w:rsid w:val="00D53A31"/>
    <w:rsid w:val="00DA100F"/>
    <w:rsid w:val="00DA4518"/>
    <w:rsid w:val="00E0700B"/>
    <w:rsid w:val="00E340FE"/>
    <w:rsid w:val="00E66898"/>
    <w:rsid w:val="00E9442B"/>
    <w:rsid w:val="00E94EF9"/>
    <w:rsid w:val="00F41368"/>
    <w:rsid w:val="00F41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947F"/>
  <w15:chartTrackingRefBased/>
  <w15:docId w15:val="{2669BF58-F9C4-48F5-8891-ADA99F97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83976"/>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22F"/>
    <w:pPr>
      <w:ind w:left="720"/>
      <w:contextualSpacing/>
    </w:pPr>
  </w:style>
  <w:style w:type="paragraph" w:styleId="NormalWeb">
    <w:name w:val="Normal (Web)"/>
    <w:basedOn w:val="Normal"/>
    <w:uiPriority w:val="99"/>
    <w:unhideWhenUsed/>
    <w:rsid w:val="00232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ize-base6">
    <w:name w:val="a-size-base6"/>
    <w:rsid w:val="0023222F"/>
  </w:style>
  <w:style w:type="character" w:customStyle="1" w:styleId="jrnl">
    <w:name w:val="jrnl"/>
    <w:basedOn w:val="DefaultParagraphFont"/>
    <w:rsid w:val="0023222F"/>
  </w:style>
  <w:style w:type="character" w:styleId="HTMLTypewriter">
    <w:name w:val="HTML Typewriter"/>
    <w:uiPriority w:val="99"/>
    <w:semiHidden/>
    <w:unhideWhenUsed/>
    <w:rsid w:val="00883976"/>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883976"/>
    <w:rPr>
      <w:rFonts w:ascii="Times New Roman" w:eastAsia="Times New Roman" w:hAnsi="Times New Roman" w:cs="Times New Roman"/>
      <w:b/>
      <w:bCs/>
      <w:color w:val="000000"/>
      <w:kern w:val="36"/>
      <w:sz w:val="33"/>
      <w:szCs w:val="33"/>
    </w:rPr>
  </w:style>
  <w:style w:type="character" w:styleId="Hyperlink">
    <w:name w:val="Hyperlink"/>
    <w:basedOn w:val="DefaultParagraphFont"/>
    <w:uiPriority w:val="99"/>
    <w:semiHidden/>
    <w:unhideWhenUsed/>
    <w:rsid w:val="009459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15738">
      <w:bodyDiv w:val="1"/>
      <w:marLeft w:val="0"/>
      <w:marRight w:val="0"/>
      <w:marTop w:val="0"/>
      <w:marBottom w:val="0"/>
      <w:divBdr>
        <w:top w:val="none" w:sz="0" w:space="0" w:color="auto"/>
        <w:left w:val="none" w:sz="0" w:space="0" w:color="auto"/>
        <w:bottom w:val="none" w:sz="0" w:space="0" w:color="auto"/>
        <w:right w:val="none" w:sz="0" w:space="0" w:color="auto"/>
      </w:divBdr>
      <w:divsChild>
        <w:div w:id="804928139">
          <w:marLeft w:val="0"/>
          <w:marRight w:val="1"/>
          <w:marTop w:val="0"/>
          <w:marBottom w:val="0"/>
          <w:divBdr>
            <w:top w:val="none" w:sz="0" w:space="0" w:color="auto"/>
            <w:left w:val="none" w:sz="0" w:space="0" w:color="auto"/>
            <w:bottom w:val="none" w:sz="0" w:space="0" w:color="auto"/>
            <w:right w:val="none" w:sz="0" w:space="0" w:color="auto"/>
          </w:divBdr>
          <w:divsChild>
            <w:div w:id="1270892520">
              <w:marLeft w:val="0"/>
              <w:marRight w:val="0"/>
              <w:marTop w:val="0"/>
              <w:marBottom w:val="0"/>
              <w:divBdr>
                <w:top w:val="none" w:sz="0" w:space="0" w:color="auto"/>
                <w:left w:val="none" w:sz="0" w:space="0" w:color="auto"/>
                <w:bottom w:val="none" w:sz="0" w:space="0" w:color="auto"/>
                <w:right w:val="none" w:sz="0" w:space="0" w:color="auto"/>
              </w:divBdr>
              <w:divsChild>
                <w:div w:id="1092892114">
                  <w:marLeft w:val="0"/>
                  <w:marRight w:val="1"/>
                  <w:marTop w:val="0"/>
                  <w:marBottom w:val="0"/>
                  <w:divBdr>
                    <w:top w:val="none" w:sz="0" w:space="0" w:color="auto"/>
                    <w:left w:val="none" w:sz="0" w:space="0" w:color="auto"/>
                    <w:bottom w:val="none" w:sz="0" w:space="0" w:color="auto"/>
                    <w:right w:val="none" w:sz="0" w:space="0" w:color="auto"/>
                  </w:divBdr>
                  <w:divsChild>
                    <w:div w:id="796069317">
                      <w:marLeft w:val="0"/>
                      <w:marRight w:val="0"/>
                      <w:marTop w:val="0"/>
                      <w:marBottom w:val="0"/>
                      <w:divBdr>
                        <w:top w:val="none" w:sz="0" w:space="0" w:color="auto"/>
                        <w:left w:val="none" w:sz="0" w:space="0" w:color="auto"/>
                        <w:bottom w:val="none" w:sz="0" w:space="0" w:color="auto"/>
                        <w:right w:val="none" w:sz="0" w:space="0" w:color="auto"/>
                      </w:divBdr>
                      <w:divsChild>
                        <w:div w:id="515967508">
                          <w:marLeft w:val="0"/>
                          <w:marRight w:val="0"/>
                          <w:marTop w:val="0"/>
                          <w:marBottom w:val="0"/>
                          <w:divBdr>
                            <w:top w:val="none" w:sz="0" w:space="0" w:color="auto"/>
                            <w:left w:val="none" w:sz="0" w:space="0" w:color="auto"/>
                            <w:bottom w:val="none" w:sz="0" w:space="0" w:color="auto"/>
                            <w:right w:val="none" w:sz="0" w:space="0" w:color="auto"/>
                          </w:divBdr>
                          <w:divsChild>
                            <w:div w:id="37169466">
                              <w:marLeft w:val="0"/>
                              <w:marRight w:val="0"/>
                              <w:marTop w:val="120"/>
                              <w:marBottom w:val="360"/>
                              <w:divBdr>
                                <w:top w:val="none" w:sz="0" w:space="0" w:color="auto"/>
                                <w:left w:val="none" w:sz="0" w:space="0" w:color="auto"/>
                                <w:bottom w:val="none" w:sz="0" w:space="0" w:color="auto"/>
                                <w:right w:val="none" w:sz="0" w:space="0" w:color="auto"/>
                              </w:divBdr>
                              <w:divsChild>
                                <w:div w:id="1827432292">
                                  <w:marLeft w:val="0"/>
                                  <w:marRight w:val="0"/>
                                  <w:marTop w:val="0"/>
                                  <w:marBottom w:val="0"/>
                                  <w:divBdr>
                                    <w:top w:val="none" w:sz="0" w:space="0" w:color="auto"/>
                                    <w:left w:val="none" w:sz="0" w:space="0" w:color="auto"/>
                                    <w:bottom w:val="none" w:sz="0" w:space="0" w:color="auto"/>
                                    <w:right w:val="none" w:sz="0" w:space="0" w:color="auto"/>
                                  </w:divBdr>
                                </w:div>
                                <w:div w:id="51858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Anderson%20CL%5BAuthor%5D&amp;cauthor=true&amp;cauthor_uid=19195739" TargetMode="External"/><Relationship Id="rId3" Type="http://schemas.openxmlformats.org/officeDocument/2006/relationships/settings" Target="settings.xml"/><Relationship Id="rId7" Type="http://schemas.openxmlformats.org/officeDocument/2006/relationships/hyperlink" Target="https://www.ncbi.nlm.nih.gov/pubmed/?term=Miller%20KT%5BAuthor%5D&amp;cauthor=true&amp;cauthor_uid=1919573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Schultz%20CH%5BAuthor%5D&amp;cauthor=true&amp;cauthor_uid=19195739" TargetMode="External"/><Relationship Id="rId11" Type="http://schemas.openxmlformats.org/officeDocument/2006/relationships/fontTable" Target="fontTable.xml"/><Relationship Id="rId5" Type="http://schemas.openxmlformats.org/officeDocument/2006/relationships/hyperlink" Target="https://www.ncbi.nlm.nih.gov/pubmed/?term=Kahn%20CA%5BAuthor%5D&amp;cauthor=true&amp;cauthor_uid=19195739" TargetMode="External"/><Relationship Id="rId10" Type="http://schemas.openxmlformats.org/officeDocument/2006/relationships/hyperlink" Target="https://www.ncbi.nlm.nih.gov/pubmed/28822212" TargetMode="External"/><Relationship Id="rId4" Type="http://schemas.openxmlformats.org/officeDocument/2006/relationships/webSettings" Target="webSettings.xml"/><Relationship Id="rId9" Type="http://schemas.openxmlformats.org/officeDocument/2006/relationships/hyperlink" Target="https://www.ncbi.nlm.nih.gov/pubmed/19195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2017-11-14T16:12:00Z</dcterms:created>
  <dcterms:modified xsi:type="dcterms:W3CDTF">2017-11-14T16:47:00Z</dcterms:modified>
</cp:coreProperties>
</file>