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1AAA" w:rsidRPr="00F41368" w:rsidRDefault="00781AAA">
      <w:pPr>
        <w:rPr>
          <w:rFonts w:cstheme="minorHAnsi"/>
          <w:sz w:val="24"/>
          <w:szCs w:val="24"/>
        </w:rPr>
      </w:pPr>
      <w:r w:rsidRPr="00F41368">
        <w:rPr>
          <w:rFonts w:cstheme="minorHAnsi"/>
          <w:sz w:val="24"/>
          <w:szCs w:val="24"/>
        </w:rPr>
        <w:t>Hydrofluoric Acid</w:t>
      </w:r>
      <w:r w:rsidR="00F41368">
        <w:rPr>
          <w:rFonts w:cstheme="minorHAnsi"/>
          <w:sz w:val="24"/>
          <w:szCs w:val="24"/>
        </w:rPr>
        <w:t xml:space="preserve">: </w:t>
      </w:r>
      <w:r w:rsidRPr="00F41368">
        <w:rPr>
          <w:rFonts w:cstheme="minorHAnsi"/>
          <w:sz w:val="24"/>
          <w:szCs w:val="24"/>
        </w:rPr>
        <w:t xml:space="preserve">The next terrorist weapon?  </w:t>
      </w:r>
      <w:r w:rsidR="00F41368">
        <w:rPr>
          <w:rFonts w:cstheme="minorHAnsi"/>
          <w:sz w:val="24"/>
          <w:szCs w:val="24"/>
        </w:rPr>
        <w:t>Preparing yourself and your team.</w:t>
      </w:r>
      <w:bookmarkStart w:id="0" w:name="_GoBack"/>
      <w:bookmarkEnd w:id="0"/>
    </w:p>
    <w:p w:rsidR="00781AAA" w:rsidRPr="00F41368" w:rsidRDefault="00781AAA">
      <w:pPr>
        <w:rPr>
          <w:rFonts w:cstheme="minorHAnsi"/>
          <w:sz w:val="24"/>
          <w:szCs w:val="24"/>
        </w:rPr>
      </w:pPr>
      <w:r w:rsidRPr="00F41368">
        <w:rPr>
          <w:rFonts w:cstheme="minorHAnsi"/>
          <w:sz w:val="24"/>
          <w:szCs w:val="24"/>
        </w:rPr>
        <w:t>Paul Rega MD, FACEP; Assistant Professor, School of Population Health and the Department of Emergency Medicine, University of Toledo</w:t>
      </w:r>
    </w:p>
    <w:p w:rsidR="00781AAA" w:rsidRPr="00F41368" w:rsidRDefault="00781AAA">
      <w:pPr>
        <w:rPr>
          <w:rFonts w:cstheme="minorHAnsi"/>
          <w:sz w:val="24"/>
          <w:szCs w:val="24"/>
        </w:rPr>
      </w:pPr>
    </w:p>
    <w:p w:rsidR="00941A9E" w:rsidRPr="00F41368" w:rsidRDefault="00781AAA">
      <w:pPr>
        <w:rPr>
          <w:rFonts w:cstheme="minorHAnsi"/>
          <w:sz w:val="24"/>
          <w:szCs w:val="24"/>
        </w:rPr>
      </w:pPr>
      <w:r w:rsidRPr="00F41368">
        <w:rPr>
          <w:rFonts w:cstheme="minorHAnsi"/>
          <w:sz w:val="24"/>
          <w:szCs w:val="24"/>
        </w:rPr>
        <w:t>Statement of the problem:  Hydrofluoric acid</w:t>
      </w:r>
      <w:r w:rsidR="00584DCD" w:rsidRPr="00F41368">
        <w:rPr>
          <w:rFonts w:cstheme="minorHAnsi"/>
          <w:sz w:val="24"/>
          <w:szCs w:val="24"/>
        </w:rPr>
        <w:t xml:space="preserve"> (HFA)</w:t>
      </w:r>
      <w:r w:rsidRPr="00F41368">
        <w:rPr>
          <w:rFonts w:cstheme="minorHAnsi"/>
          <w:sz w:val="24"/>
          <w:szCs w:val="24"/>
        </w:rPr>
        <w:t xml:space="preserve"> is an agent whose components’ action upon human tissue is unique among hazardous agents.  </w:t>
      </w:r>
      <w:r w:rsidR="00584DCD" w:rsidRPr="00F41368">
        <w:rPr>
          <w:rFonts w:cstheme="minorHAnsi"/>
          <w:sz w:val="24"/>
          <w:szCs w:val="24"/>
        </w:rPr>
        <w:t xml:space="preserve">This ubiquitous chemical destroys skin, facia, muscle, and bone.  </w:t>
      </w:r>
      <w:r w:rsidR="00E340FE" w:rsidRPr="00F41368">
        <w:rPr>
          <w:rFonts w:cstheme="minorHAnsi"/>
          <w:sz w:val="24"/>
          <w:szCs w:val="24"/>
        </w:rPr>
        <w:t>T</w:t>
      </w:r>
      <w:r w:rsidR="00584DCD" w:rsidRPr="00F41368">
        <w:rPr>
          <w:rFonts w:cstheme="minorHAnsi"/>
          <w:sz w:val="24"/>
          <w:szCs w:val="24"/>
        </w:rPr>
        <w:t>he fluoride anion attach</w:t>
      </w:r>
      <w:r w:rsidR="0023222F" w:rsidRPr="00F41368">
        <w:rPr>
          <w:rFonts w:cstheme="minorHAnsi"/>
          <w:sz w:val="24"/>
          <w:szCs w:val="24"/>
        </w:rPr>
        <w:t>es</w:t>
      </w:r>
      <w:r w:rsidR="00584DCD" w:rsidRPr="00F41368">
        <w:rPr>
          <w:rFonts w:cstheme="minorHAnsi"/>
          <w:sz w:val="24"/>
          <w:szCs w:val="24"/>
        </w:rPr>
        <w:t xml:space="preserve"> with the body’s calcium creating the potential for hypocalcemia</w:t>
      </w:r>
      <w:r w:rsidR="0023222F" w:rsidRPr="00F41368">
        <w:rPr>
          <w:rFonts w:cstheme="minorHAnsi"/>
          <w:sz w:val="24"/>
          <w:szCs w:val="24"/>
        </w:rPr>
        <w:t>,</w:t>
      </w:r>
      <w:r w:rsidR="00584DCD" w:rsidRPr="00F41368">
        <w:rPr>
          <w:rFonts w:cstheme="minorHAnsi"/>
          <w:sz w:val="24"/>
          <w:szCs w:val="24"/>
        </w:rPr>
        <w:t xml:space="preserve"> tetany and death</w:t>
      </w:r>
      <w:r w:rsidR="0023222F" w:rsidRPr="00F41368">
        <w:rPr>
          <w:rFonts w:cstheme="minorHAnsi"/>
          <w:sz w:val="24"/>
          <w:szCs w:val="24"/>
        </w:rPr>
        <w:t xml:space="preserve"> </w:t>
      </w:r>
      <w:r w:rsidR="00584DCD" w:rsidRPr="00F41368">
        <w:rPr>
          <w:rFonts w:cstheme="minorHAnsi"/>
          <w:sz w:val="24"/>
          <w:szCs w:val="24"/>
        </w:rPr>
        <w:t xml:space="preserve">in minutes if countermeasures are not instituted immediately.  Calcium in </w:t>
      </w:r>
      <w:proofErr w:type="gramStart"/>
      <w:r w:rsidR="00584DCD" w:rsidRPr="00F41368">
        <w:rPr>
          <w:rFonts w:cstheme="minorHAnsi"/>
          <w:sz w:val="24"/>
          <w:szCs w:val="24"/>
        </w:rPr>
        <w:t>all of</w:t>
      </w:r>
      <w:proofErr w:type="gramEnd"/>
      <w:r w:rsidR="00584DCD" w:rsidRPr="00F41368">
        <w:rPr>
          <w:rFonts w:cstheme="minorHAnsi"/>
          <w:sz w:val="24"/>
          <w:szCs w:val="24"/>
        </w:rPr>
        <w:t xml:space="preserve"> its iterations is the antidote of choice.  However, as much as HFA is a clear and present danger, knowledge of the agent, its clinical manifestations, and </w:t>
      </w:r>
      <w:r w:rsidR="0023222F" w:rsidRPr="00F41368">
        <w:rPr>
          <w:rFonts w:cstheme="minorHAnsi"/>
          <w:sz w:val="24"/>
          <w:szCs w:val="24"/>
        </w:rPr>
        <w:t>the</w:t>
      </w:r>
      <w:r w:rsidR="00584DCD" w:rsidRPr="00F41368">
        <w:rPr>
          <w:rFonts w:cstheme="minorHAnsi"/>
          <w:sz w:val="24"/>
          <w:szCs w:val="24"/>
        </w:rPr>
        <w:t xml:space="preserve"> therapeutic options are not </w:t>
      </w:r>
      <w:r w:rsidR="00E0700B" w:rsidRPr="00F41368">
        <w:rPr>
          <w:rFonts w:cstheme="minorHAnsi"/>
          <w:sz w:val="24"/>
          <w:szCs w:val="24"/>
        </w:rPr>
        <w:t xml:space="preserve">taught among the medical and nursing specialties.  This presentation serves to discuss HFA, demonstrate the use of high-fidelity simulators to reinforce education, </w:t>
      </w:r>
      <w:r w:rsidR="0023222F" w:rsidRPr="00F41368">
        <w:rPr>
          <w:rFonts w:cstheme="minorHAnsi"/>
          <w:sz w:val="24"/>
          <w:szCs w:val="24"/>
        </w:rPr>
        <w:t xml:space="preserve">and </w:t>
      </w:r>
      <w:r w:rsidR="00E0700B" w:rsidRPr="00F41368">
        <w:rPr>
          <w:rFonts w:cstheme="minorHAnsi"/>
          <w:sz w:val="24"/>
          <w:szCs w:val="24"/>
        </w:rPr>
        <w:t>present a</w:t>
      </w:r>
      <w:r w:rsidR="0023222F" w:rsidRPr="00F41368">
        <w:rPr>
          <w:rFonts w:cstheme="minorHAnsi"/>
          <w:sz w:val="24"/>
          <w:szCs w:val="24"/>
        </w:rPr>
        <w:t>n</w:t>
      </w:r>
      <w:r w:rsidR="00E0700B" w:rsidRPr="00F41368">
        <w:rPr>
          <w:rFonts w:cstheme="minorHAnsi"/>
          <w:sz w:val="24"/>
          <w:szCs w:val="24"/>
        </w:rPr>
        <w:t xml:space="preserve"> </w:t>
      </w:r>
      <w:r w:rsidR="0023222F" w:rsidRPr="00F41368">
        <w:rPr>
          <w:rFonts w:cstheme="minorHAnsi"/>
          <w:sz w:val="24"/>
          <w:szCs w:val="24"/>
        </w:rPr>
        <w:t xml:space="preserve">HFA mass casualty </w:t>
      </w:r>
      <w:r w:rsidR="00E0700B" w:rsidRPr="00F41368">
        <w:rPr>
          <w:rFonts w:cstheme="minorHAnsi"/>
          <w:sz w:val="24"/>
          <w:szCs w:val="24"/>
        </w:rPr>
        <w:t>table-top exercise</w:t>
      </w:r>
      <w:r w:rsidR="0023222F" w:rsidRPr="00F41368">
        <w:rPr>
          <w:rFonts w:cstheme="minorHAnsi"/>
          <w:sz w:val="24"/>
          <w:szCs w:val="24"/>
        </w:rPr>
        <w:t>.</w:t>
      </w:r>
    </w:p>
    <w:p w:rsidR="00781AAA" w:rsidRPr="00F41368" w:rsidRDefault="00781AAA">
      <w:pPr>
        <w:rPr>
          <w:rFonts w:cstheme="minorHAnsi"/>
          <w:sz w:val="24"/>
          <w:szCs w:val="24"/>
        </w:rPr>
      </w:pPr>
      <w:r w:rsidRPr="00F41368">
        <w:rPr>
          <w:rFonts w:cstheme="minorHAnsi"/>
          <w:sz w:val="24"/>
          <w:szCs w:val="24"/>
        </w:rPr>
        <w:t>Methodology &amp; Theoretical Orientation:</w:t>
      </w:r>
      <w:r w:rsidR="00E0700B" w:rsidRPr="00F41368">
        <w:rPr>
          <w:rFonts w:cstheme="minorHAnsi"/>
          <w:sz w:val="24"/>
          <w:szCs w:val="24"/>
        </w:rPr>
        <w:t xml:space="preserve">  </w:t>
      </w:r>
      <w:r w:rsidR="00A9776E" w:rsidRPr="00F41368">
        <w:rPr>
          <w:rFonts w:cstheme="minorHAnsi"/>
          <w:sz w:val="24"/>
          <w:szCs w:val="24"/>
        </w:rPr>
        <w:t xml:space="preserve">A </w:t>
      </w:r>
      <w:r w:rsidR="00E0700B" w:rsidRPr="00F41368">
        <w:rPr>
          <w:rFonts w:cstheme="minorHAnsi"/>
          <w:sz w:val="24"/>
          <w:szCs w:val="24"/>
        </w:rPr>
        <w:t xml:space="preserve">primer on HFA </w:t>
      </w:r>
      <w:r w:rsidR="0023222F" w:rsidRPr="00F41368">
        <w:rPr>
          <w:rFonts w:cstheme="minorHAnsi"/>
          <w:sz w:val="24"/>
          <w:szCs w:val="24"/>
        </w:rPr>
        <w:t xml:space="preserve">was </w:t>
      </w:r>
      <w:r w:rsidR="00A9776E" w:rsidRPr="00F41368">
        <w:rPr>
          <w:rFonts w:cstheme="minorHAnsi"/>
          <w:sz w:val="24"/>
          <w:szCs w:val="24"/>
        </w:rPr>
        <w:t xml:space="preserve">available to the learner.  </w:t>
      </w:r>
      <w:r w:rsidR="0023222F" w:rsidRPr="00F41368">
        <w:rPr>
          <w:rFonts w:cstheme="minorHAnsi"/>
          <w:sz w:val="24"/>
          <w:szCs w:val="24"/>
        </w:rPr>
        <w:t>Afterwards</w:t>
      </w:r>
      <w:r w:rsidR="00A9776E" w:rsidRPr="00F41368">
        <w:rPr>
          <w:rFonts w:cstheme="minorHAnsi"/>
          <w:sz w:val="24"/>
          <w:szCs w:val="24"/>
        </w:rPr>
        <w:t>, a</w:t>
      </w:r>
      <w:r w:rsidR="00E0700B" w:rsidRPr="00F41368">
        <w:rPr>
          <w:rFonts w:cstheme="minorHAnsi"/>
          <w:sz w:val="24"/>
          <w:szCs w:val="24"/>
        </w:rPr>
        <w:t xml:space="preserve">n HFA case scenario </w:t>
      </w:r>
      <w:r w:rsidR="00A9776E" w:rsidRPr="00F41368">
        <w:rPr>
          <w:rFonts w:cstheme="minorHAnsi"/>
          <w:sz w:val="24"/>
          <w:szCs w:val="24"/>
        </w:rPr>
        <w:t>was</w:t>
      </w:r>
      <w:r w:rsidR="00E0700B" w:rsidRPr="00F41368">
        <w:rPr>
          <w:rFonts w:cstheme="minorHAnsi"/>
          <w:sz w:val="24"/>
          <w:szCs w:val="24"/>
        </w:rPr>
        <w:t xml:space="preserve"> </w:t>
      </w:r>
      <w:proofErr w:type="gramStart"/>
      <w:r w:rsidR="00E0700B" w:rsidRPr="00F41368">
        <w:rPr>
          <w:rFonts w:cstheme="minorHAnsi"/>
          <w:sz w:val="24"/>
          <w:szCs w:val="24"/>
        </w:rPr>
        <w:t>developed</w:t>
      </w:r>
      <w:proofErr w:type="gramEnd"/>
      <w:r w:rsidR="00E0700B" w:rsidRPr="00F41368">
        <w:rPr>
          <w:rFonts w:cstheme="minorHAnsi"/>
          <w:sz w:val="24"/>
          <w:szCs w:val="24"/>
        </w:rPr>
        <w:t xml:space="preserve"> </w:t>
      </w:r>
      <w:r w:rsidR="00A9776E" w:rsidRPr="00F41368">
        <w:rPr>
          <w:rFonts w:cstheme="minorHAnsi"/>
          <w:sz w:val="24"/>
          <w:szCs w:val="24"/>
        </w:rPr>
        <w:t>and the learner was challenged to deliver appropriate care at the scene of the exposure and in the emergency department.  Emphasis was placed on the proper utilization of antidotes.  The final stage is a table-top exercise dealing with multiple victims of an intentional attack and the efficient use of the various therapeutic choices based upon the initial triage of the victims.</w:t>
      </w:r>
    </w:p>
    <w:p w:rsidR="00781AAA" w:rsidRPr="00F41368" w:rsidRDefault="00781AAA">
      <w:pPr>
        <w:rPr>
          <w:rFonts w:cstheme="minorHAnsi"/>
          <w:sz w:val="24"/>
          <w:szCs w:val="24"/>
        </w:rPr>
      </w:pPr>
      <w:r w:rsidRPr="00F41368">
        <w:rPr>
          <w:rFonts w:cstheme="minorHAnsi"/>
          <w:sz w:val="24"/>
          <w:szCs w:val="24"/>
        </w:rPr>
        <w:t>Findings:</w:t>
      </w:r>
      <w:r w:rsidR="00A9776E" w:rsidRPr="00F41368">
        <w:rPr>
          <w:rFonts w:cstheme="minorHAnsi"/>
          <w:sz w:val="24"/>
          <w:szCs w:val="24"/>
        </w:rPr>
        <w:t xml:space="preserve">  Learners</w:t>
      </w:r>
      <w:r w:rsidR="00E340FE" w:rsidRPr="00F41368">
        <w:rPr>
          <w:rFonts w:cstheme="minorHAnsi"/>
          <w:sz w:val="24"/>
          <w:szCs w:val="24"/>
        </w:rPr>
        <w:t xml:space="preserve"> have acknowledged that the use of high-fidelity simulations reinforced their traditional education of uncommon but life-threatening medical conditions such as HFA exposure.   The addition of a mass casualty event was purposely created to address terrorism and the need of emergency nurses and physicians to act quickly and competently to utilize resources efficaciously and save lives. </w:t>
      </w:r>
    </w:p>
    <w:p w:rsidR="00781AAA" w:rsidRPr="00F41368" w:rsidRDefault="00781AAA">
      <w:pPr>
        <w:rPr>
          <w:rFonts w:cstheme="minorHAnsi"/>
          <w:sz w:val="24"/>
          <w:szCs w:val="24"/>
        </w:rPr>
      </w:pPr>
      <w:r w:rsidRPr="00F41368">
        <w:rPr>
          <w:rFonts w:cstheme="minorHAnsi"/>
          <w:sz w:val="24"/>
          <w:szCs w:val="24"/>
        </w:rPr>
        <w:t>Conclusion &amp; Significance:</w:t>
      </w:r>
      <w:r w:rsidR="00E340FE" w:rsidRPr="00F41368">
        <w:rPr>
          <w:rFonts w:cstheme="minorHAnsi"/>
          <w:sz w:val="24"/>
          <w:szCs w:val="24"/>
        </w:rPr>
        <w:t xml:space="preserve">  HFA is a unique HAZMT agent that has not achieved the proper recognition as a potential agent of terror.  The use of case simulations and table-top exercises can resolve that issue efficiently and entertainingly.   </w:t>
      </w:r>
    </w:p>
    <w:p w:rsidR="0023222F" w:rsidRPr="00F41368" w:rsidRDefault="0023222F">
      <w:pPr>
        <w:rPr>
          <w:rFonts w:cstheme="minorHAnsi"/>
          <w:sz w:val="24"/>
          <w:szCs w:val="24"/>
        </w:rPr>
      </w:pPr>
      <w:r w:rsidRPr="00F41368">
        <w:rPr>
          <w:rFonts w:cstheme="minorHAnsi"/>
          <w:sz w:val="24"/>
          <w:szCs w:val="24"/>
        </w:rPr>
        <w:t>Recent Publications</w:t>
      </w:r>
    </w:p>
    <w:p w:rsidR="0023222F" w:rsidRPr="00F41368" w:rsidRDefault="0023222F" w:rsidP="0023222F">
      <w:pPr>
        <w:pStyle w:val="NormalWeb"/>
        <w:numPr>
          <w:ilvl w:val="0"/>
          <w:numId w:val="2"/>
        </w:numPr>
        <w:spacing w:before="0" w:beforeAutospacing="0" w:after="0" w:afterAutospacing="0"/>
        <w:rPr>
          <w:rStyle w:val="a-size-base6"/>
          <w:rFonts w:asciiTheme="minorHAnsi" w:hAnsiTheme="minorHAnsi" w:cstheme="minorHAnsi"/>
        </w:rPr>
      </w:pPr>
      <w:r w:rsidRPr="00F41368">
        <w:rPr>
          <w:rFonts w:asciiTheme="minorHAnsi" w:hAnsiTheme="minorHAnsi" w:cstheme="minorHAnsi"/>
        </w:rPr>
        <w:t xml:space="preserve">Rega PP.  Hydrofluoric Acid Mass Casualty Incident in </w:t>
      </w:r>
      <w:proofErr w:type="spellStart"/>
      <w:r w:rsidRPr="00F41368">
        <w:rPr>
          <w:rFonts w:asciiTheme="minorHAnsi" w:hAnsiTheme="minorHAnsi" w:cstheme="minorHAnsi"/>
        </w:rPr>
        <w:t>Ciottone’s</w:t>
      </w:r>
      <w:proofErr w:type="spellEnd"/>
      <w:r w:rsidRPr="00F41368">
        <w:rPr>
          <w:rFonts w:asciiTheme="minorHAnsi" w:hAnsiTheme="minorHAnsi" w:cstheme="minorHAnsi"/>
        </w:rPr>
        <w:t xml:space="preserve"> Disaster Medicine, 2e by GR </w:t>
      </w:r>
      <w:proofErr w:type="spellStart"/>
      <w:r w:rsidRPr="00F41368">
        <w:rPr>
          <w:rFonts w:asciiTheme="minorHAnsi" w:hAnsiTheme="minorHAnsi" w:cstheme="minorHAnsi"/>
        </w:rPr>
        <w:t>Ciottone</w:t>
      </w:r>
      <w:proofErr w:type="spellEnd"/>
      <w:r w:rsidRPr="00F41368">
        <w:rPr>
          <w:rFonts w:asciiTheme="minorHAnsi" w:hAnsiTheme="minorHAnsi" w:cstheme="minorHAnsi"/>
        </w:rPr>
        <w:t xml:space="preserve">, Paul D </w:t>
      </w:r>
      <w:proofErr w:type="spellStart"/>
      <w:r w:rsidRPr="00F41368">
        <w:rPr>
          <w:rFonts w:asciiTheme="minorHAnsi" w:hAnsiTheme="minorHAnsi" w:cstheme="minorHAnsi"/>
        </w:rPr>
        <w:t>Bittinger</w:t>
      </w:r>
      <w:proofErr w:type="spellEnd"/>
      <w:r w:rsidRPr="00F41368">
        <w:rPr>
          <w:rFonts w:asciiTheme="minorHAnsi" w:hAnsiTheme="minorHAnsi" w:cstheme="minorHAnsi"/>
        </w:rPr>
        <w:t>, et al (</w:t>
      </w:r>
      <w:proofErr w:type="spellStart"/>
      <w:r w:rsidRPr="00F41368">
        <w:rPr>
          <w:rFonts w:asciiTheme="minorHAnsi" w:hAnsiTheme="minorHAnsi" w:cstheme="minorHAnsi"/>
        </w:rPr>
        <w:t>eds</w:t>
      </w:r>
      <w:proofErr w:type="spellEnd"/>
      <w:r w:rsidRPr="00F41368">
        <w:rPr>
          <w:rFonts w:asciiTheme="minorHAnsi" w:hAnsiTheme="minorHAnsi" w:cstheme="minorHAnsi"/>
        </w:rPr>
        <w:t xml:space="preserve">).    </w:t>
      </w:r>
      <w:proofErr w:type="gramStart"/>
      <w:r w:rsidRPr="00F41368">
        <w:rPr>
          <w:rFonts w:asciiTheme="minorHAnsi" w:hAnsiTheme="minorHAnsi" w:cstheme="minorHAnsi"/>
        </w:rPr>
        <w:t>November,</w:t>
      </w:r>
      <w:proofErr w:type="gramEnd"/>
      <w:r w:rsidRPr="00F41368">
        <w:rPr>
          <w:rFonts w:asciiTheme="minorHAnsi" w:hAnsiTheme="minorHAnsi" w:cstheme="minorHAnsi"/>
        </w:rPr>
        <w:t xml:space="preserve"> 2015; Elsevier, Philadelphia, PA.  </w:t>
      </w:r>
      <w:r w:rsidRPr="00F41368">
        <w:rPr>
          <w:rStyle w:val="a-size-base6"/>
          <w:rFonts w:asciiTheme="minorHAnsi" w:hAnsiTheme="minorHAnsi" w:cstheme="minorHAnsi"/>
          <w:color w:val="111111"/>
        </w:rPr>
        <w:t>ISBN-13:</w:t>
      </w:r>
      <w:r w:rsidRPr="00F41368">
        <w:rPr>
          <w:rFonts w:asciiTheme="minorHAnsi" w:hAnsiTheme="minorHAnsi" w:cstheme="minorHAnsi"/>
          <w:color w:val="111111"/>
        </w:rPr>
        <w:t xml:space="preserve"> </w:t>
      </w:r>
      <w:r w:rsidRPr="00F41368">
        <w:rPr>
          <w:rStyle w:val="a-size-base6"/>
          <w:rFonts w:asciiTheme="minorHAnsi" w:hAnsiTheme="minorHAnsi" w:cstheme="minorHAnsi"/>
          <w:color w:val="111111"/>
        </w:rPr>
        <w:t>978-0323286657.</w:t>
      </w:r>
    </w:p>
    <w:p w:rsidR="0023222F" w:rsidRPr="00F41368" w:rsidRDefault="0023222F" w:rsidP="0023222F">
      <w:pPr>
        <w:pStyle w:val="ListParagraph"/>
        <w:numPr>
          <w:ilvl w:val="0"/>
          <w:numId w:val="2"/>
        </w:numPr>
        <w:shd w:val="clear" w:color="auto" w:fill="FFFFFF"/>
        <w:spacing w:before="240" w:after="120" w:line="240" w:lineRule="auto"/>
        <w:outlineLvl w:val="0"/>
        <w:rPr>
          <w:rFonts w:cstheme="minorHAnsi"/>
          <w:bCs/>
          <w:kern w:val="36"/>
          <w:sz w:val="24"/>
          <w:szCs w:val="24"/>
        </w:rPr>
      </w:pPr>
      <w:hyperlink r:id="rId5" w:history="1">
        <w:r w:rsidRPr="00F41368">
          <w:rPr>
            <w:rFonts w:cstheme="minorHAnsi"/>
            <w:sz w:val="24"/>
            <w:szCs w:val="24"/>
          </w:rPr>
          <w:t>Wing JS</w:t>
        </w:r>
      </w:hyperlink>
      <w:r w:rsidRPr="00F41368">
        <w:rPr>
          <w:rFonts w:cstheme="minorHAnsi"/>
          <w:sz w:val="24"/>
          <w:szCs w:val="24"/>
        </w:rPr>
        <w:t xml:space="preserve">, </w:t>
      </w:r>
      <w:hyperlink r:id="rId6" w:history="1">
        <w:proofErr w:type="spellStart"/>
        <w:r w:rsidRPr="00F41368">
          <w:rPr>
            <w:rFonts w:cstheme="minorHAnsi"/>
            <w:sz w:val="24"/>
            <w:szCs w:val="24"/>
          </w:rPr>
          <w:t>Brender</w:t>
        </w:r>
        <w:proofErr w:type="spellEnd"/>
        <w:r w:rsidRPr="00F41368">
          <w:rPr>
            <w:rFonts w:cstheme="minorHAnsi"/>
            <w:sz w:val="24"/>
            <w:szCs w:val="24"/>
          </w:rPr>
          <w:t xml:space="preserve"> JD</w:t>
        </w:r>
      </w:hyperlink>
      <w:r w:rsidRPr="00F41368">
        <w:rPr>
          <w:rFonts w:cstheme="minorHAnsi"/>
          <w:sz w:val="24"/>
          <w:szCs w:val="24"/>
        </w:rPr>
        <w:t xml:space="preserve">, </w:t>
      </w:r>
      <w:hyperlink r:id="rId7" w:history="1">
        <w:r w:rsidRPr="00F41368">
          <w:rPr>
            <w:rFonts w:cstheme="minorHAnsi"/>
            <w:sz w:val="24"/>
            <w:szCs w:val="24"/>
          </w:rPr>
          <w:t>Sanderson LM</w:t>
        </w:r>
      </w:hyperlink>
      <w:r w:rsidRPr="00F41368">
        <w:rPr>
          <w:rFonts w:cstheme="minorHAnsi"/>
          <w:sz w:val="24"/>
          <w:szCs w:val="24"/>
        </w:rPr>
        <w:t xml:space="preserve">, et al.  </w:t>
      </w:r>
      <w:r w:rsidRPr="00F41368">
        <w:rPr>
          <w:rFonts w:cstheme="minorHAnsi"/>
          <w:bCs/>
          <w:kern w:val="36"/>
          <w:sz w:val="24"/>
          <w:szCs w:val="24"/>
        </w:rPr>
        <w:t xml:space="preserve">Acute health effects in a community after a release of hydrofluoric acid.  </w:t>
      </w:r>
      <w:hyperlink r:id="rId8" w:tooltip="Archives of environmental health." w:history="1">
        <w:r w:rsidRPr="00F41368">
          <w:rPr>
            <w:rFonts w:cstheme="minorHAnsi"/>
            <w:sz w:val="24"/>
            <w:szCs w:val="24"/>
          </w:rPr>
          <w:t>Arch Environ Health.</w:t>
        </w:r>
      </w:hyperlink>
      <w:r w:rsidRPr="00F41368">
        <w:rPr>
          <w:rFonts w:cstheme="minorHAnsi"/>
          <w:sz w:val="24"/>
          <w:szCs w:val="24"/>
        </w:rPr>
        <w:t xml:space="preserve"> 1991 May-Jun;46(3):155-60.</w:t>
      </w:r>
    </w:p>
    <w:p w:rsidR="0023222F" w:rsidRPr="00F41368" w:rsidRDefault="0023222F" w:rsidP="0023222F">
      <w:pPr>
        <w:pStyle w:val="ListParagraph"/>
        <w:numPr>
          <w:ilvl w:val="0"/>
          <w:numId w:val="2"/>
        </w:numPr>
        <w:shd w:val="clear" w:color="auto" w:fill="FFFFFF"/>
        <w:spacing w:before="240" w:after="120" w:line="240" w:lineRule="auto"/>
        <w:outlineLvl w:val="0"/>
        <w:rPr>
          <w:rFonts w:cstheme="minorHAnsi"/>
          <w:bCs/>
          <w:kern w:val="36"/>
          <w:sz w:val="24"/>
          <w:szCs w:val="24"/>
        </w:rPr>
      </w:pPr>
      <w:r w:rsidRPr="00F41368">
        <w:rPr>
          <w:rFonts w:cstheme="minorHAnsi"/>
          <w:sz w:val="24"/>
          <w:szCs w:val="24"/>
          <w:bdr w:val="none" w:sz="0" w:space="0" w:color="auto" w:frame="1"/>
        </w:rPr>
        <w:t xml:space="preserve">Ly BT. </w:t>
      </w:r>
      <w:r w:rsidRPr="00F41368">
        <w:rPr>
          <w:rFonts w:cstheme="minorHAnsi"/>
          <w:vanish/>
          <w:sz w:val="24"/>
          <w:szCs w:val="24"/>
          <w:bdr w:val="none" w:sz="0" w:space="0" w:color="auto" w:frame="1"/>
        </w:rPr>
        <w:t xml:space="preserve">Ly B.T. </w:t>
      </w:r>
      <w:r w:rsidRPr="00F41368">
        <w:rPr>
          <w:rFonts w:cstheme="minorHAnsi"/>
          <w:sz w:val="24"/>
          <w:szCs w:val="24"/>
          <w:bdr w:val="none" w:sz="0" w:space="0" w:color="auto" w:frame="1"/>
        </w:rPr>
        <w:t xml:space="preserve">Chapter 81. Hydrogen Fluoride and Hydrofluoric Acid. In: Olson KR. </w:t>
      </w:r>
      <w:r w:rsidRPr="00F41368">
        <w:rPr>
          <w:rFonts w:cstheme="minorHAnsi"/>
          <w:vanish/>
          <w:sz w:val="24"/>
          <w:szCs w:val="24"/>
          <w:bdr w:val="none" w:sz="0" w:space="0" w:color="auto" w:frame="1"/>
        </w:rPr>
        <w:t xml:space="preserve">Olson K.R. </w:t>
      </w:r>
      <w:r w:rsidRPr="00F41368">
        <w:rPr>
          <w:rFonts w:cstheme="minorHAnsi"/>
          <w:sz w:val="24"/>
          <w:szCs w:val="24"/>
          <w:bdr w:val="none" w:sz="0" w:space="0" w:color="auto" w:frame="1"/>
        </w:rPr>
        <w:t xml:space="preserve">eds. </w:t>
      </w:r>
      <w:r w:rsidRPr="00F41368">
        <w:rPr>
          <w:rFonts w:cstheme="minorHAnsi"/>
          <w:i/>
          <w:iCs/>
          <w:sz w:val="24"/>
          <w:szCs w:val="24"/>
          <w:bdr w:val="none" w:sz="0" w:space="0" w:color="auto" w:frame="1"/>
        </w:rPr>
        <w:t xml:space="preserve">Poisoning &amp; Drug Overdose, 6e. </w:t>
      </w:r>
      <w:r w:rsidRPr="00F41368">
        <w:rPr>
          <w:rFonts w:cstheme="minorHAnsi"/>
          <w:sz w:val="24"/>
          <w:szCs w:val="24"/>
          <w:bdr w:val="none" w:sz="0" w:space="0" w:color="auto" w:frame="1"/>
        </w:rPr>
        <w:t>New York: McGraw-Hill; 2012.</w:t>
      </w:r>
    </w:p>
    <w:p w:rsidR="0023222F" w:rsidRPr="00F41368" w:rsidRDefault="0023222F" w:rsidP="0023222F">
      <w:pPr>
        <w:pStyle w:val="ListParagraph"/>
        <w:numPr>
          <w:ilvl w:val="0"/>
          <w:numId w:val="2"/>
        </w:numPr>
        <w:shd w:val="clear" w:color="auto" w:fill="FFFFFF"/>
        <w:spacing w:before="240" w:after="120" w:line="240" w:lineRule="auto"/>
        <w:outlineLvl w:val="0"/>
        <w:rPr>
          <w:rFonts w:cstheme="minorHAnsi"/>
          <w:bCs/>
          <w:kern w:val="36"/>
          <w:sz w:val="24"/>
          <w:szCs w:val="24"/>
        </w:rPr>
      </w:pPr>
      <w:r w:rsidRPr="00F41368">
        <w:rPr>
          <w:rFonts w:cstheme="minorHAnsi"/>
          <w:sz w:val="24"/>
          <w:szCs w:val="24"/>
        </w:rPr>
        <w:lastRenderedPageBreak/>
        <w:t xml:space="preserve">Blodgett DW, </w:t>
      </w:r>
      <w:proofErr w:type="spellStart"/>
      <w:r w:rsidRPr="00F41368">
        <w:rPr>
          <w:rFonts w:cstheme="minorHAnsi"/>
          <w:sz w:val="24"/>
          <w:szCs w:val="24"/>
        </w:rPr>
        <w:t>Suruda</w:t>
      </w:r>
      <w:proofErr w:type="spellEnd"/>
      <w:r w:rsidRPr="00F41368">
        <w:rPr>
          <w:rFonts w:cstheme="minorHAnsi"/>
          <w:sz w:val="24"/>
          <w:szCs w:val="24"/>
        </w:rPr>
        <w:t xml:space="preserve"> AJ, Crouch BI.  Case Report: Fatal Unintentional Occupational Poisonings by Hydrofluoric Acid in the U.S.  American Journal </w:t>
      </w:r>
      <w:proofErr w:type="gramStart"/>
      <w:r w:rsidRPr="00F41368">
        <w:rPr>
          <w:rFonts w:cstheme="minorHAnsi"/>
          <w:sz w:val="24"/>
          <w:szCs w:val="24"/>
        </w:rPr>
        <w:t>Of</w:t>
      </w:r>
      <w:proofErr w:type="gramEnd"/>
      <w:r w:rsidRPr="00F41368">
        <w:rPr>
          <w:rFonts w:cstheme="minorHAnsi"/>
          <w:sz w:val="24"/>
          <w:szCs w:val="24"/>
        </w:rPr>
        <w:t xml:space="preserve"> Industrial Medicine 40:215±220 (2001)</w:t>
      </w:r>
      <w:r w:rsidRPr="00F41368">
        <w:rPr>
          <w:rFonts w:cstheme="minorHAnsi"/>
          <w:bCs/>
          <w:kern w:val="36"/>
          <w:sz w:val="24"/>
          <w:szCs w:val="24"/>
        </w:rPr>
        <w:t>.</w:t>
      </w:r>
    </w:p>
    <w:p w:rsidR="0023222F" w:rsidRPr="00F41368" w:rsidRDefault="0023222F" w:rsidP="0023222F">
      <w:pPr>
        <w:pStyle w:val="ListParagraph"/>
        <w:numPr>
          <w:ilvl w:val="0"/>
          <w:numId w:val="2"/>
        </w:numPr>
        <w:shd w:val="clear" w:color="auto" w:fill="FFFFFF"/>
        <w:spacing w:before="240" w:after="120" w:line="240" w:lineRule="auto"/>
        <w:outlineLvl w:val="0"/>
        <w:rPr>
          <w:rFonts w:cstheme="minorHAnsi"/>
          <w:bCs/>
          <w:kern w:val="36"/>
          <w:sz w:val="24"/>
          <w:szCs w:val="24"/>
        </w:rPr>
      </w:pPr>
      <w:proofErr w:type="spellStart"/>
      <w:r w:rsidRPr="00F41368">
        <w:rPr>
          <w:rFonts w:cstheme="minorHAnsi"/>
          <w:sz w:val="24"/>
          <w:szCs w:val="24"/>
        </w:rPr>
        <w:t>Dalamaga</w:t>
      </w:r>
      <w:proofErr w:type="spellEnd"/>
      <w:r w:rsidRPr="00F41368">
        <w:rPr>
          <w:rFonts w:cstheme="minorHAnsi"/>
          <w:sz w:val="24"/>
          <w:szCs w:val="24"/>
        </w:rPr>
        <w:t xml:space="preserve"> M, </w:t>
      </w:r>
      <w:proofErr w:type="spellStart"/>
      <w:r w:rsidRPr="00F41368">
        <w:rPr>
          <w:rFonts w:cstheme="minorHAnsi"/>
          <w:sz w:val="24"/>
          <w:szCs w:val="24"/>
        </w:rPr>
        <w:t>Karmaniolas</w:t>
      </w:r>
      <w:proofErr w:type="spellEnd"/>
      <w:r w:rsidRPr="00F41368">
        <w:rPr>
          <w:rFonts w:cstheme="minorHAnsi"/>
          <w:sz w:val="24"/>
          <w:szCs w:val="24"/>
        </w:rPr>
        <w:t xml:space="preserve"> K, </w:t>
      </w:r>
      <w:proofErr w:type="spellStart"/>
      <w:r w:rsidRPr="00F41368">
        <w:rPr>
          <w:rFonts w:cstheme="minorHAnsi"/>
          <w:sz w:val="24"/>
          <w:szCs w:val="24"/>
        </w:rPr>
        <w:t>Nikolaidou</w:t>
      </w:r>
      <w:proofErr w:type="spellEnd"/>
      <w:r w:rsidRPr="00F41368">
        <w:rPr>
          <w:rFonts w:cstheme="minorHAnsi"/>
          <w:sz w:val="24"/>
          <w:szCs w:val="24"/>
        </w:rPr>
        <w:t xml:space="preserve"> A, et al.  </w:t>
      </w:r>
      <w:hyperlink r:id="rId9" w:history="1">
        <w:r w:rsidRPr="00F41368">
          <w:rPr>
            <w:rFonts w:cstheme="minorHAnsi"/>
            <w:sz w:val="24"/>
            <w:szCs w:val="24"/>
          </w:rPr>
          <w:t>Hypocalcemia, hypomagnesemia, and hypokalemia following hydrofluoric acid chemical injury.</w:t>
        </w:r>
      </w:hyperlink>
      <w:r w:rsidRPr="00F41368">
        <w:rPr>
          <w:rFonts w:cstheme="minorHAnsi"/>
          <w:sz w:val="24"/>
          <w:szCs w:val="24"/>
        </w:rPr>
        <w:t xml:space="preserve">  </w:t>
      </w:r>
      <w:r w:rsidRPr="00F41368">
        <w:rPr>
          <w:rStyle w:val="jrnl"/>
          <w:rFonts w:cstheme="minorHAnsi"/>
          <w:sz w:val="24"/>
          <w:szCs w:val="24"/>
        </w:rPr>
        <w:t>J Burn Care Res</w:t>
      </w:r>
      <w:r w:rsidRPr="00F41368">
        <w:rPr>
          <w:rFonts w:cstheme="minorHAnsi"/>
          <w:sz w:val="24"/>
          <w:szCs w:val="24"/>
        </w:rPr>
        <w:t>. 2008 May-Jun;29(3):541-3.</w:t>
      </w:r>
    </w:p>
    <w:p w:rsidR="0023222F" w:rsidRPr="00F41368" w:rsidRDefault="0023222F" w:rsidP="0023222F">
      <w:pPr>
        <w:pStyle w:val="ListParagraph"/>
        <w:shd w:val="clear" w:color="auto" w:fill="FFFFFF"/>
        <w:spacing w:before="240" w:after="120" w:line="240" w:lineRule="auto"/>
        <w:outlineLvl w:val="0"/>
        <w:rPr>
          <w:rFonts w:cstheme="minorHAnsi"/>
          <w:bCs/>
          <w:kern w:val="36"/>
          <w:sz w:val="24"/>
          <w:szCs w:val="24"/>
        </w:rPr>
      </w:pPr>
    </w:p>
    <w:sectPr w:rsidR="0023222F" w:rsidRPr="00F413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43B86"/>
    <w:multiLevelType w:val="hybridMultilevel"/>
    <w:tmpl w:val="70A6FC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6C10F6"/>
    <w:multiLevelType w:val="hybridMultilevel"/>
    <w:tmpl w:val="A43E62D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EA051E"/>
    <w:multiLevelType w:val="hybridMultilevel"/>
    <w:tmpl w:val="72AA4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AAA"/>
    <w:rsid w:val="0004158F"/>
    <w:rsid w:val="00093C45"/>
    <w:rsid w:val="000E33CC"/>
    <w:rsid w:val="001A21D9"/>
    <w:rsid w:val="001F01D4"/>
    <w:rsid w:val="0023222F"/>
    <w:rsid w:val="002D5DB4"/>
    <w:rsid w:val="002E0DBB"/>
    <w:rsid w:val="0040636B"/>
    <w:rsid w:val="004D6860"/>
    <w:rsid w:val="00503AD7"/>
    <w:rsid w:val="00544770"/>
    <w:rsid w:val="00570041"/>
    <w:rsid w:val="00584DCD"/>
    <w:rsid w:val="005C0D9C"/>
    <w:rsid w:val="005D4521"/>
    <w:rsid w:val="005F7A6D"/>
    <w:rsid w:val="00654F51"/>
    <w:rsid w:val="00662C58"/>
    <w:rsid w:val="006A4B78"/>
    <w:rsid w:val="006F177D"/>
    <w:rsid w:val="00743769"/>
    <w:rsid w:val="00781AAA"/>
    <w:rsid w:val="007E70BC"/>
    <w:rsid w:val="008801BA"/>
    <w:rsid w:val="008835E8"/>
    <w:rsid w:val="008876FF"/>
    <w:rsid w:val="008F4AAA"/>
    <w:rsid w:val="009146D1"/>
    <w:rsid w:val="00941A9E"/>
    <w:rsid w:val="00A733CB"/>
    <w:rsid w:val="00A9776E"/>
    <w:rsid w:val="00AC25C1"/>
    <w:rsid w:val="00B474A3"/>
    <w:rsid w:val="00B90046"/>
    <w:rsid w:val="00BB1438"/>
    <w:rsid w:val="00C0582B"/>
    <w:rsid w:val="00D22525"/>
    <w:rsid w:val="00D53A31"/>
    <w:rsid w:val="00DA100F"/>
    <w:rsid w:val="00DA4518"/>
    <w:rsid w:val="00E0700B"/>
    <w:rsid w:val="00E340FE"/>
    <w:rsid w:val="00E66898"/>
    <w:rsid w:val="00E9442B"/>
    <w:rsid w:val="00E94EF9"/>
    <w:rsid w:val="00F41368"/>
    <w:rsid w:val="00F41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051E2"/>
  <w15:chartTrackingRefBased/>
  <w15:docId w15:val="{2669BF58-F9C4-48F5-8891-ADA99F977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222F"/>
    <w:pPr>
      <w:ind w:left="720"/>
      <w:contextualSpacing/>
    </w:pPr>
  </w:style>
  <w:style w:type="paragraph" w:styleId="NormalWeb">
    <w:name w:val="Normal (Web)"/>
    <w:basedOn w:val="Normal"/>
    <w:uiPriority w:val="99"/>
    <w:unhideWhenUsed/>
    <w:rsid w:val="002322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size-base6">
    <w:name w:val="a-size-base6"/>
    <w:rsid w:val="0023222F"/>
  </w:style>
  <w:style w:type="character" w:customStyle="1" w:styleId="jrnl">
    <w:name w:val="jrnl"/>
    <w:basedOn w:val="DefaultParagraphFont"/>
    <w:rsid w:val="00232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ubmed/?term=wing+brender+1991+Hydrofluoric+acid" TargetMode="External"/><Relationship Id="rId3" Type="http://schemas.openxmlformats.org/officeDocument/2006/relationships/settings" Target="settings.xml"/><Relationship Id="rId7" Type="http://schemas.openxmlformats.org/officeDocument/2006/relationships/hyperlink" Target="http://www.ncbi.nlm.nih.gov/pubmed?term=Sanderson%20LM%5BAuthor%5D&amp;cauthor=true&amp;cauthor_uid=203927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cbi.nlm.nih.gov/pubmed?term=Brender%20JD%5BAuthor%5D&amp;cauthor=true&amp;cauthor_uid=2039270" TargetMode="External"/><Relationship Id="rId11" Type="http://schemas.openxmlformats.org/officeDocument/2006/relationships/theme" Target="theme/theme1.xml"/><Relationship Id="rId5" Type="http://schemas.openxmlformats.org/officeDocument/2006/relationships/hyperlink" Target="http://www.ncbi.nlm.nih.gov/pubmed?term=Wing%20JS%5BAuthor%5D&amp;cauthor=true&amp;cauthor_uid=203927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ncbi.nlm.nih.gov/pubmed/183885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542</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2017-11-14T03:29:00Z</dcterms:created>
  <dcterms:modified xsi:type="dcterms:W3CDTF">2017-11-14T04:33:00Z</dcterms:modified>
</cp:coreProperties>
</file>