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B73C4" w:rsidRDefault="00AE793B" w:rsidP="001B33E9">
      <w:pPr>
        <w:pStyle w:val="1"/>
        <w:spacing w:before="170"/>
        <w:rPr>
          <w:rFonts w:ascii="Tw Cen MT" w:hAnsi="Tw Cen MT"/>
          <w:color w:val="337AB7"/>
        </w:rPr>
      </w:pPr>
      <w:bookmarkStart w:id="0" w:name="_Hlk501028028"/>
      <w:bookmarkEnd w:id="0"/>
      <w:r w:rsidRPr="004B73C4">
        <w:rPr>
          <w:rFonts w:ascii="Tw Cen MT" w:hAnsi="Tw Cen MT"/>
          <w:color w:val="337AB7"/>
        </w:rPr>
        <w:t xml:space="preserve">Title: </w:t>
      </w:r>
      <w:r w:rsidR="001B33E9" w:rsidRPr="004B73C4">
        <w:rPr>
          <w:rFonts w:ascii="Tw Cen MT" w:hAnsi="Tw Cen MT"/>
          <w:color w:val="337AB7"/>
        </w:rPr>
        <w:t>Beliefs and Attitudes Regarding Determinants of Health in Turkey and Palestine</w:t>
      </w:r>
    </w:p>
    <w:p w:rsidR="001B33E9" w:rsidRPr="004B73C4" w:rsidRDefault="001B33E9" w:rsidP="001B33E9">
      <w:pPr>
        <w:widowControl/>
        <w:autoSpaceDE w:val="0"/>
        <w:autoSpaceDN w:val="0"/>
        <w:adjustRightInd w:val="0"/>
        <w:rPr>
          <w:rFonts w:eastAsiaTheme="minorHAnsi" w:cstheme="minorBidi"/>
          <w:b/>
          <w:bCs/>
        </w:rPr>
      </w:pPr>
    </w:p>
    <w:p w:rsidR="001B33E9" w:rsidRPr="004B73C4" w:rsidRDefault="001B33E9" w:rsidP="001B33E9">
      <w:pPr>
        <w:widowControl/>
        <w:autoSpaceDE w:val="0"/>
        <w:autoSpaceDN w:val="0"/>
        <w:adjustRightInd w:val="0"/>
        <w:rPr>
          <w:rFonts w:eastAsiaTheme="minorHAnsi" w:cstheme="minorBidi"/>
          <w:i/>
          <w:iCs/>
        </w:rPr>
      </w:pPr>
      <w:r w:rsidRPr="004B73C4">
        <w:rPr>
          <w:rFonts w:eastAsiaTheme="minorHAnsi" w:cstheme="minorBidi"/>
          <w:b/>
          <w:bCs/>
        </w:rPr>
        <w:t xml:space="preserve">Wafaa Menawi, </w:t>
      </w:r>
      <w:r w:rsidRPr="004B73C4">
        <w:rPr>
          <w:rFonts w:cstheme="minorBidi"/>
          <w:i/>
          <w:iCs/>
          <w:color w:val="000000"/>
          <w:shd w:val="clear" w:color="auto" w:fill="FDFCFA"/>
        </w:rPr>
        <w:t>Ph.D.</w:t>
      </w:r>
      <w:r w:rsidRPr="004B73C4">
        <w:rPr>
          <w:rFonts w:eastAsiaTheme="minorHAnsi" w:cstheme="minorBidi"/>
          <w:i/>
          <w:iCs/>
        </w:rPr>
        <w:t xml:space="preserve"> </w:t>
      </w:r>
      <w:r w:rsidRPr="004B73C4">
        <w:rPr>
          <w:rFonts w:cstheme="minorBidi"/>
          <w:i/>
          <w:iCs/>
          <w:color w:val="000000"/>
          <w:shd w:val="clear" w:color="auto" w:fill="FDFCFA"/>
        </w:rPr>
        <w:t>An-Najah BioSciences Unit (NBU)</w:t>
      </w:r>
      <w:r w:rsidRPr="004B73C4">
        <w:rPr>
          <w:rFonts w:eastAsiaTheme="minorHAnsi" w:cstheme="minorBidi"/>
          <w:i/>
          <w:iCs/>
        </w:rPr>
        <w:t>, An-Najah National University, Palestine</w:t>
      </w:r>
    </w:p>
    <w:p w:rsidR="00AE3E37" w:rsidRPr="004B73C4" w:rsidRDefault="00AE3E37">
      <w:pPr>
        <w:pStyle w:val="a3"/>
        <w:spacing w:before="3"/>
        <w:rPr>
          <w:rFonts w:cstheme="minorBidi"/>
          <w:i/>
          <w:iCs/>
          <w:sz w:val="22"/>
          <w:szCs w:val="22"/>
        </w:rPr>
      </w:pPr>
    </w:p>
    <w:p w:rsidR="00AE3E37" w:rsidRPr="004B73C4" w:rsidRDefault="00AE3E37">
      <w:pPr>
        <w:rPr>
          <w:sz w:val="21"/>
        </w:rPr>
        <w:sectPr w:rsidR="00AE3E37" w:rsidRPr="004B73C4">
          <w:headerReference w:type="default" r:id="rId9"/>
          <w:footerReference w:type="default" r:id="rId10"/>
          <w:type w:val="continuous"/>
          <w:pgSz w:w="11910" w:h="16840"/>
          <w:pgMar w:top="1740" w:right="600" w:bottom="840" w:left="620" w:header="541" w:footer="642" w:gutter="0"/>
          <w:cols w:space="720"/>
        </w:sectPr>
      </w:pPr>
    </w:p>
    <w:p w:rsidR="00AE3E37" w:rsidRPr="004B73C4" w:rsidRDefault="00A9710C" w:rsidP="00D234D5">
      <w:pPr>
        <w:pStyle w:val="3"/>
        <w:spacing w:before="147"/>
        <w:jc w:val="both"/>
        <w:rPr>
          <w:rFonts w:ascii="Tw Cen MT" w:hAnsi="Tw Cen MT"/>
        </w:rPr>
      </w:pPr>
      <w:r w:rsidRPr="004B73C4">
        <w:rPr>
          <w:rFonts w:ascii="Tw Cen MT" w:hAnsi="Tw Cen MT"/>
          <w:color w:val="BF5A14"/>
        </w:rPr>
        <w:lastRenderedPageBreak/>
        <w:t>Abstract</w:t>
      </w:r>
      <w:r w:rsidR="00404E5B" w:rsidRPr="004B73C4">
        <w:rPr>
          <w:rFonts w:ascii="Tw Cen MT" w:hAnsi="Tw Cen MT"/>
          <w:color w:val="BF5A14"/>
        </w:rPr>
        <w:t xml:space="preserve"> </w:t>
      </w:r>
    </w:p>
    <w:p w:rsidR="00AE3E37" w:rsidRPr="004B73C4" w:rsidRDefault="002E2584" w:rsidP="002E2584">
      <w:pPr>
        <w:pStyle w:val="a3"/>
        <w:spacing w:before="90" w:line="280" w:lineRule="auto"/>
        <w:ind w:left="100"/>
        <w:jc w:val="both"/>
      </w:pPr>
      <w:r w:rsidRPr="004B73C4">
        <w:t>Health is a result of the cultural pigment of the individual and community beliefs and attitudes which in turn is affected by the environmental, social and political conditions. A comparative survey study on the beliefs and attitudes of citizens in both Palestine and Turkey regarding determinants of health and health promotion factors has been conducted. For a representative sample, stratified random sampling has been distributed on (4100) citizens as a total 1,500 in (Nablus) Palestine and 2,600 in (Ankara) Turkey between July 2013 and March 2014. Then data has been entered into SPSS18,0 programs, to get frequency distributions and descriptive analysis. The result of analysis pointed out attitudes and beliefs of citizens regarding factors affect health and health promotion with statistically significant differences (p &lt;0.05) between Palestinian and Turkish Citizens. As Turkish citizens believe that smoking with a rate of (83.2%), stress (78.8%), health care services (65.7%), nutrition and exercise (64%) frame the most influential factors on their health. In the same study, Turkish participants believe that reducing poverty, unemployment, cigarette consumption, air pollution and improving the sheltering quality will improve their health. In the other location of the study, Palestinians believe that reducing the rate of poverty, unemployment, pollution, cigarette consumption, and violence play a role in improving the health of the public. In conclusion, the participants’ answers revealed factors that affect health among the citizens which in turn reflect the social and political circumstances they live under. Therefore, this study pictures the effect of political and socio-economic factors in shaping beliefs and attitudes of the individuals and communities. Thus, the related health behavior necessarily reflects the importance of an integration of political, social and economic systems. As a result, these systems are considered to be a primary pillar in setting up our country’s health agenda to improve health and limit the inequality in providing health services to citizens.</w:t>
      </w:r>
    </w:p>
    <w:p w:rsidR="00AE3E37" w:rsidRPr="004B73C4" w:rsidRDefault="00A9710C">
      <w:pPr>
        <w:pStyle w:val="3"/>
        <w:spacing w:before="74"/>
        <w:rPr>
          <w:rFonts w:ascii="Tw Cen MT" w:hAnsi="Tw Cen MT"/>
        </w:rPr>
      </w:pPr>
      <w:r w:rsidRPr="004B73C4">
        <w:rPr>
          <w:rFonts w:ascii="Tw Cen MT" w:hAnsi="Tw Cen MT"/>
          <w:b w:val="0"/>
        </w:rPr>
        <w:br w:type="column"/>
      </w:r>
      <w:r w:rsidRPr="004B73C4">
        <w:rPr>
          <w:rFonts w:ascii="Tw Cen MT" w:hAnsi="Tw Cen MT"/>
          <w:color w:val="BF5A14"/>
        </w:rPr>
        <w:lastRenderedPageBreak/>
        <w:t>Image</w:t>
      </w:r>
    </w:p>
    <w:p w:rsidR="00AE3E37" w:rsidRPr="004B73C4" w:rsidRDefault="00AE3E37">
      <w:pPr>
        <w:pStyle w:val="a3"/>
        <w:spacing w:before="2"/>
        <w:rPr>
          <w:b/>
          <w:sz w:val="16"/>
        </w:rPr>
      </w:pPr>
    </w:p>
    <w:p w:rsidR="0016508F" w:rsidRPr="004B73C4" w:rsidRDefault="0016508F" w:rsidP="005973B9">
      <w:pPr>
        <w:spacing w:line="204" w:lineRule="exact"/>
        <w:rPr>
          <w:b/>
          <w:color w:val="BF5A14"/>
          <w:sz w:val="20"/>
        </w:rPr>
      </w:pPr>
      <w:r w:rsidRPr="004B73C4">
        <w:rPr>
          <w:b/>
          <w:color w:val="BF5A14"/>
          <w:sz w:val="20"/>
        </w:rPr>
        <w:t xml:space="preserve">        </w:t>
      </w:r>
      <w:r w:rsidRPr="004B73C4">
        <w:rPr>
          <w:b/>
          <w:sz w:val="20"/>
        </w:rPr>
        <w:t xml:space="preserve">NOT APPLICABLE </w:t>
      </w:r>
      <w:r w:rsidR="005973B9" w:rsidRPr="004B73C4">
        <w:rPr>
          <w:b/>
          <w:sz w:val="20"/>
        </w:rPr>
        <w:br/>
      </w:r>
      <w:r w:rsidRPr="004B73C4">
        <w:rPr>
          <w:b/>
          <w:color w:val="BF5A14"/>
          <w:sz w:val="20"/>
        </w:rPr>
        <w:t xml:space="preserve">     </w:t>
      </w:r>
    </w:p>
    <w:p w:rsidR="0016508F" w:rsidRPr="004B73C4" w:rsidRDefault="0016508F" w:rsidP="005973B9">
      <w:pPr>
        <w:spacing w:line="204" w:lineRule="exact"/>
        <w:rPr>
          <w:b/>
          <w:color w:val="BF5A14"/>
          <w:sz w:val="20"/>
        </w:rPr>
      </w:pPr>
    </w:p>
    <w:p w:rsidR="0016508F" w:rsidRPr="004B73C4" w:rsidRDefault="0016508F" w:rsidP="005973B9">
      <w:pPr>
        <w:spacing w:line="204" w:lineRule="exact"/>
        <w:rPr>
          <w:b/>
          <w:color w:val="BF5A14"/>
          <w:sz w:val="20"/>
        </w:rPr>
      </w:pPr>
    </w:p>
    <w:p w:rsidR="005973B9" w:rsidRPr="004B73C4" w:rsidRDefault="005973B9" w:rsidP="005973B9">
      <w:pPr>
        <w:spacing w:line="204" w:lineRule="exact"/>
        <w:rPr>
          <w:b/>
          <w:sz w:val="20"/>
        </w:rPr>
      </w:pPr>
      <w:r w:rsidRPr="004B73C4">
        <w:rPr>
          <w:b/>
          <w:color w:val="BF5A14"/>
          <w:sz w:val="20"/>
        </w:rPr>
        <w:t>Recent Publications (minimum 5)</w:t>
      </w:r>
    </w:p>
    <w:p w:rsidR="0016508F" w:rsidRPr="004B73C4" w:rsidRDefault="0016508F" w:rsidP="0016508F">
      <w:pPr>
        <w:pStyle w:val="a3"/>
        <w:numPr>
          <w:ilvl w:val="0"/>
          <w:numId w:val="6"/>
        </w:numPr>
        <w:spacing w:before="85" w:line="216" w:lineRule="exact"/>
        <w:ind w:left="360" w:right="138" w:hanging="270"/>
        <w:jc w:val="both"/>
        <w:rPr>
          <w:rFonts w:eastAsia="Calibri" w:cs="Calibri"/>
        </w:rPr>
      </w:pPr>
      <w:r w:rsidRPr="004B73C4">
        <w:rPr>
          <w:rFonts w:eastAsia="Calibri" w:cs="Calibri"/>
        </w:rPr>
        <w:t>Wafaa Allam Menawi, Dilaver Tengilimoglu &amp; Sophia F. Dziegielewski (2017): Health Beliefs and Attitudes: A Comparison Between Turkey and Palestine, Journal of Social Service Research, DOI:10.1080/01488376.2017.1374316URL: http://dx.doi.org/10.1080/01488376.2017.1374316.</w:t>
      </w:r>
    </w:p>
    <w:p w:rsidR="0016508F" w:rsidRPr="004B73C4" w:rsidRDefault="0016508F" w:rsidP="0016508F">
      <w:pPr>
        <w:pStyle w:val="a3"/>
        <w:numPr>
          <w:ilvl w:val="0"/>
          <w:numId w:val="6"/>
        </w:numPr>
        <w:spacing w:before="85" w:line="216" w:lineRule="exact"/>
        <w:ind w:left="360" w:right="138" w:hanging="270"/>
        <w:jc w:val="both"/>
        <w:rPr>
          <w:rFonts w:eastAsia="Calibri" w:cs="Calibri"/>
        </w:rPr>
      </w:pPr>
      <w:r w:rsidRPr="004B73C4">
        <w:rPr>
          <w:rFonts w:eastAsia="Calibri" w:cs="Calibri"/>
        </w:rPr>
        <w:t>Menawi WA (2017) Beliefs and Attitudes Regarding Determinants of Health in Turkey and Palestine. J Community Med Health Educ 5:546. doi:10.4172/21610711.1000546.</w:t>
      </w:r>
    </w:p>
    <w:p w:rsidR="0016508F" w:rsidRPr="004B73C4" w:rsidRDefault="0016508F" w:rsidP="0016508F">
      <w:pPr>
        <w:pStyle w:val="a3"/>
        <w:numPr>
          <w:ilvl w:val="0"/>
          <w:numId w:val="6"/>
        </w:numPr>
        <w:spacing w:before="85" w:line="216" w:lineRule="exact"/>
        <w:ind w:left="360" w:right="138" w:hanging="270"/>
        <w:jc w:val="both"/>
        <w:rPr>
          <w:rFonts w:eastAsia="Calibri" w:cs="Calibri"/>
        </w:rPr>
      </w:pPr>
      <w:r w:rsidRPr="004B73C4">
        <w:rPr>
          <w:rFonts w:eastAsia="Calibri" w:cs="Calibri"/>
        </w:rPr>
        <w:t>Tengilimo</w:t>
      </w:r>
      <w:r w:rsidRPr="004B73C4">
        <w:rPr>
          <w:rFonts w:ascii="Arial" w:eastAsia="Calibri" w:hAnsi="Arial" w:cs="Arial"/>
        </w:rPr>
        <w:t>ğ</w:t>
      </w:r>
      <w:r w:rsidRPr="004B73C4">
        <w:rPr>
          <w:rFonts w:eastAsia="Calibri" w:cs="Calibri"/>
        </w:rPr>
        <w:t xml:space="preserve">lu,D., Menawi,W., Diner,M., Kisa,A. And Younis,Z (2016). </w:t>
      </w:r>
      <w:hyperlink r:id="rId11" w:history="1">
        <w:r w:rsidRPr="004B73C4">
          <w:rPr>
            <w:rStyle w:val="Hyperlink"/>
            <w:rFonts w:eastAsia="Calibri" w:cs="Calibri"/>
            <w:color w:val="auto"/>
            <w:u w:val="none"/>
          </w:rPr>
          <w:t xml:space="preserve">Evaluation of the Family Medicine Practice in Ankara Province by Family Physicians. </w:t>
        </w:r>
      </w:hyperlink>
      <w:r w:rsidRPr="004B73C4">
        <w:rPr>
          <w:rFonts w:eastAsia="Calibri" w:cs="Calibri"/>
        </w:rPr>
        <w:t xml:space="preserve"> Journal of Health and Human Services Administration (</w:t>
      </w:r>
      <w:r w:rsidRPr="004B73C4">
        <w:rPr>
          <w:rFonts w:eastAsia="Calibri" w:cs="Calibri"/>
          <w:b/>
          <w:bCs/>
        </w:rPr>
        <w:t>JHHSA</w:t>
      </w:r>
      <w:r w:rsidRPr="004B73C4">
        <w:rPr>
          <w:rFonts w:eastAsia="Calibri" w:cs="Calibri"/>
        </w:rPr>
        <w:t>).Vol. 39, No. 2.</w:t>
      </w:r>
    </w:p>
    <w:p w:rsidR="002C0EAA" w:rsidRPr="004B73C4" w:rsidRDefault="002C0EAA" w:rsidP="002C0EAA">
      <w:pPr>
        <w:pStyle w:val="a3"/>
        <w:numPr>
          <w:ilvl w:val="0"/>
          <w:numId w:val="6"/>
        </w:numPr>
        <w:spacing w:before="85" w:line="216" w:lineRule="exact"/>
        <w:ind w:left="360" w:right="138"/>
        <w:jc w:val="both"/>
        <w:rPr>
          <w:rFonts w:eastAsia="Calibri" w:cs="Calibri"/>
        </w:rPr>
      </w:pPr>
      <w:r w:rsidRPr="004B73C4">
        <w:rPr>
          <w:rFonts w:eastAsia="Calibri" w:cs="Calibri"/>
        </w:rPr>
        <w:t>Aydogan, E., Gulec, D., Menawi, W. (2013). Mission Statement of the Medical Tourism Hospital: Turkey, USA, India, Comparison, 7.Health and Hospital Management Congress, Konya, Turkey.1330-1339.</w:t>
      </w:r>
    </w:p>
    <w:p w:rsidR="002C0EAA" w:rsidRPr="004B73C4" w:rsidRDefault="002C0EAA" w:rsidP="002C0EAA">
      <w:pPr>
        <w:pStyle w:val="a3"/>
        <w:numPr>
          <w:ilvl w:val="0"/>
          <w:numId w:val="6"/>
        </w:numPr>
        <w:spacing w:before="85" w:line="216" w:lineRule="exact"/>
        <w:ind w:left="360" w:right="138" w:hanging="270"/>
        <w:jc w:val="both"/>
        <w:rPr>
          <w:rFonts w:eastAsia="Calibri" w:cs="Calibri"/>
        </w:rPr>
      </w:pPr>
      <w:r w:rsidRPr="004B73C4">
        <w:rPr>
          <w:rFonts w:eastAsia="Calibri" w:cs="Calibri"/>
        </w:rPr>
        <w:t>Gulec, D., Menawi, W. (2013). Informed Consent in Patients Undergoing Surgical Procedures, Poster Presentation, The Turkish-American Law and Ethics of the  International Symposium, Ankara.</w:t>
      </w:r>
    </w:p>
    <w:p w:rsidR="0016508F" w:rsidRPr="004B73C4" w:rsidRDefault="0016508F" w:rsidP="0016508F">
      <w:pPr>
        <w:pStyle w:val="a3"/>
        <w:numPr>
          <w:ilvl w:val="0"/>
          <w:numId w:val="6"/>
        </w:numPr>
        <w:spacing w:before="85" w:line="216" w:lineRule="exact"/>
        <w:ind w:left="360" w:right="138" w:hanging="270"/>
        <w:jc w:val="both"/>
        <w:rPr>
          <w:rFonts w:eastAsia="Calibri" w:cs="Calibri"/>
        </w:rPr>
      </w:pPr>
      <w:r w:rsidRPr="004B73C4">
        <w:rPr>
          <w:rFonts w:eastAsia="Calibri" w:cs="Calibri"/>
        </w:rPr>
        <w:t>Musmar, S., Musmar, M., AL-Minawi,W.(2009). Prevalence Of Allergic Rhinitis &amp; Its Risk Factors Among An-Najah National University Students in Nablus. Middle East Journal of Family Medicine (MEJFM).Volume 7, Issue 3 .</w:t>
      </w:r>
    </w:p>
    <w:p w:rsidR="0016508F" w:rsidRPr="004B73C4" w:rsidRDefault="0016508F" w:rsidP="0016508F">
      <w:pPr>
        <w:pStyle w:val="a3"/>
        <w:numPr>
          <w:ilvl w:val="0"/>
          <w:numId w:val="6"/>
        </w:numPr>
        <w:spacing w:before="85" w:line="216" w:lineRule="exact"/>
        <w:ind w:left="360" w:right="138" w:hanging="270"/>
        <w:jc w:val="both"/>
        <w:rPr>
          <w:rFonts w:eastAsia="Calibri" w:cs="Calibri"/>
        </w:rPr>
      </w:pPr>
      <w:r w:rsidRPr="004B73C4">
        <w:rPr>
          <w:rFonts w:eastAsia="Calibri" w:cs="Calibri"/>
        </w:rPr>
        <w:t>Musmar, S.,Musmar,M. ,AL-Minawi,W. (2010). Comparison of peak expiratory flow rates applying European and Iranian equations to Palestinian students.  Middle East Journal of Family Medicine (EMHJ) .Vol. 16 No. 4.</w:t>
      </w:r>
    </w:p>
    <w:p w:rsidR="0016508F" w:rsidRPr="004B73C4" w:rsidRDefault="0016508F" w:rsidP="0016508F">
      <w:pPr>
        <w:pStyle w:val="a3"/>
        <w:spacing w:before="85" w:line="216" w:lineRule="exact"/>
        <w:ind w:left="360" w:right="138"/>
        <w:jc w:val="both"/>
        <w:rPr>
          <w:rFonts w:eastAsia="Calibri" w:cs="Calibri"/>
        </w:rPr>
      </w:pPr>
    </w:p>
    <w:p w:rsidR="005973B9" w:rsidRPr="004B73C4" w:rsidRDefault="005973B9" w:rsidP="0016508F">
      <w:pPr>
        <w:pStyle w:val="a3"/>
        <w:spacing w:before="85" w:line="216" w:lineRule="exact"/>
        <w:ind w:left="360" w:right="138"/>
        <w:jc w:val="both"/>
      </w:pPr>
    </w:p>
    <w:p w:rsidR="00AE3E37" w:rsidRPr="004B73C4" w:rsidRDefault="00AE3E37" w:rsidP="008756E6">
      <w:pPr>
        <w:tabs>
          <w:tab w:val="left" w:pos="384"/>
        </w:tabs>
        <w:ind w:right="117"/>
      </w:pPr>
    </w:p>
    <w:p w:rsidR="00AE3E37" w:rsidRPr="004B73C4" w:rsidRDefault="008756E6">
      <w:pPr>
        <w:spacing w:line="200" w:lineRule="exact"/>
        <w:jc w:val="both"/>
        <w:sectPr w:rsidR="00AE3E37" w:rsidRPr="004B73C4">
          <w:type w:val="continuous"/>
          <w:pgSz w:w="11910" w:h="16840"/>
          <w:pgMar w:top="1740" w:right="600" w:bottom="840" w:left="620" w:header="720" w:footer="720" w:gutter="0"/>
          <w:cols w:num="2" w:space="720" w:equalWidth="0">
            <w:col w:w="5214" w:space="138"/>
            <w:col w:w="5338"/>
          </w:cols>
        </w:sectPr>
      </w:pPr>
      <w:r w:rsidRPr="004B73C4">
        <w:t xml:space="preserve">   </w:t>
      </w:r>
    </w:p>
    <w:p w:rsidR="00AE3E37" w:rsidRPr="004B73C4" w:rsidRDefault="00AE3E37">
      <w:pPr>
        <w:pStyle w:val="a3"/>
        <w:rPr>
          <w:sz w:val="20"/>
        </w:rPr>
      </w:pPr>
    </w:p>
    <w:p w:rsidR="00AE3E37" w:rsidRPr="004B73C4" w:rsidRDefault="00292ED9">
      <w:pPr>
        <w:pStyle w:val="a3"/>
        <w:spacing w:line="40" w:lineRule="exact"/>
        <w:ind w:left="2202"/>
        <w:rPr>
          <w:sz w:val="4"/>
        </w:rPr>
      </w:pPr>
      <w:r w:rsidRPr="004B73C4">
        <w:rPr>
          <w:noProof/>
          <w:sz w:val="4"/>
        </w:rPr>
        <mc:AlternateContent>
          <mc:Choice Requires="wpg">
            <w:drawing>
              <wp:inline distT="0" distB="0" distL="0" distR="0" wp14:anchorId="1F3CF72D" wp14:editId="00E347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55FC8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4B73C4" w:rsidRDefault="008756E6" w:rsidP="00DD5111">
      <w:pPr>
        <w:spacing w:before="92"/>
        <w:ind w:right="4234"/>
      </w:pPr>
      <w:r w:rsidRPr="004B73C4">
        <w:rPr>
          <w:noProof/>
        </w:rPr>
        <w:t xml:space="preserve">          </w:t>
      </w:r>
      <w:r w:rsidR="00EC5D89">
        <w:rPr>
          <w:noProof/>
        </w:rPr>
        <w:drawing>
          <wp:anchor distT="0" distB="0" distL="114300" distR="114300" simplePos="0" relativeHeight="251658240" behindDoc="0" locked="0" layoutInCell="1" allowOverlap="1">
            <wp:simplePos x="0" y="0"/>
            <wp:positionH relativeFrom="column">
              <wp:posOffset>385445</wp:posOffset>
            </wp:positionH>
            <wp:positionV relativeFrom="paragraph">
              <wp:posOffset>58420</wp:posOffset>
            </wp:positionV>
            <wp:extent cx="621030" cy="621030"/>
            <wp:effectExtent l="0" t="0" r="7620" b="7620"/>
            <wp:wrapNone/>
            <wp:docPr id="1" name="صورة 1" descr="C:\Users\Msys\Pictures\Camera Roll\WIN_20171103_15_12_56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ys\Pictures\Camera Roll\WIN_20171103_15_12_56_Pr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1030" cy="62103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111" w:rsidRPr="004B73C4">
        <w:rPr>
          <w:noProof/>
        </w:rPr>
        <w:drawing>
          <wp:inline distT="0" distB="0" distL="0" distR="0" wp14:anchorId="357050E4" wp14:editId="30DC044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4B73C4">
        <w:rPr>
          <w:noProof/>
        </w:rPr>
        <w:t xml:space="preserve">    </w:t>
      </w:r>
      <w:r w:rsidR="00A9710C" w:rsidRPr="004B73C4">
        <w:rPr>
          <w:color w:val="BF5A14"/>
        </w:rPr>
        <w:t>Biography</w:t>
      </w:r>
      <w:r w:rsidR="00404E5B" w:rsidRPr="004B73C4">
        <w:rPr>
          <w:color w:val="BF5A14"/>
        </w:rPr>
        <w:t xml:space="preserve"> </w:t>
      </w:r>
    </w:p>
    <w:p w:rsidR="00064449" w:rsidRPr="004B73C4" w:rsidRDefault="00064449" w:rsidP="00A952BC">
      <w:pPr>
        <w:spacing w:before="62"/>
        <w:ind w:left="450" w:right="340"/>
        <w:rPr>
          <w:sz w:val="14"/>
        </w:rPr>
      </w:pPr>
      <w:r w:rsidRPr="004B73C4">
        <w:rPr>
          <w:sz w:val="14"/>
        </w:rPr>
        <w:t xml:space="preserve">Wafaa Menawi is working at scientific </w:t>
      </w:r>
      <w:r w:rsidR="00A952BC" w:rsidRPr="004B73C4">
        <w:rPr>
          <w:sz w:val="14"/>
        </w:rPr>
        <w:t xml:space="preserve">centers in </w:t>
      </w:r>
      <w:r w:rsidRPr="004B73C4">
        <w:rPr>
          <w:sz w:val="14"/>
        </w:rPr>
        <w:t>An-Najah National University and has expertise in the microbiological and chemical analysis of drugs and food in addition to auditing process-based quality management system at An-Najah BioSciences Unit. Her creative personnel play an important role in improving the fields that work in. She has experience in research, microbiological and chemical analy</w:t>
      </w:r>
      <w:r w:rsidR="00A952BC" w:rsidRPr="004B73C4">
        <w:rPr>
          <w:sz w:val="14"/>
        </w:rPr>
        <w:t>sis</w:t>
      </w:r>
      <w:r w:rsidRPr="004B73C4">
        <w:rPr>
          <w:sz w:val="14"/>
        </w:rPr>
        <w:t xml:space="preserve">, teaching and administration both in scientific </w:t>
      </w:r>
      <w:r w:rsidR="00A952BC" w:rsidRPr="004B73C4">
        <w:rPr>
          <w:sz w:val="14"/>
        </w:rPr>
        <w:t>centers</w:t>
      </w:r>
      <w:r w:rsidRPr="004B73C4">
        <w:rPr>
          <w:sz w:val="14"/>
        </w:rPr>
        <w:t xml:space="preserve"> and educational institutions. An-Najah BioSciences Unit is the first one in Palestine aiming to provide bioequivalence studies, pharmacokinetic studies, and medical evaluations of local pharmaceutical factories as per the requirements of the WHO and the Palestinian Ministry of Health.</w:t>
      </w:r>
    </w:p>
    <w:p w:rsidR="00064449" w:rsidRPr="004B73C4" w:rsidRDefault="00064449" w:rsidP="00064449">
      <w:pPr>
        <w:spacing w:before="62"/>
        <w:ind w:left="4217" w:right="4235"/>
        <w:jc w:val="center"/>
        <w:rPr>
          <w:sz w:val="14"/>
        </w:rPr>
      </w:pPr>
    </w:p>
    <w:p w:rsidR="00DD5111" w:rsidRPr="004B73C4" w:rsidRDefault="00DD5111" w:rsidP="00DD5111">
      <w:pPr>
        <w:spacing w:before="62"/>
        <w:ind w:left="4217" w:right="3400"/>
        <w:jc w:val="center"/>
        <w:rPr>
          <w:lang w:val="it-IT"/>
        </w:rPr>
      </w:pPr>
      <w:r w:rsidRPr="004B73C4">
        <w:rPr>
          <w:sz w:val="14"/>
        </w:rPr>
        <w:t>Email:</w:t>
      </w:r>
      <w:hyperlink r:id="rId14" w:history="1">
        <w:r w:rsidRPr="004B73C4">
          <w:rPr>
            <w:rStyle w:val="Hyperlink"/>
            <w:lang w:val="it-IT"/>
          </w:rPr>
          <w:t>w.menawi@najah.edu</w:t>
        </w:r>
      </w:hyperlink>
    </w:p>
    <w:p w:rsidR="00AE3E37" w:rsidRPr="004B73C4" w:rsidRDefault="00AE3E37">
      <w:pPr>
        <w:spacing w:before="62"/>
        <w:ind w:left="4217" w:right="4235"/>
        <w:jc w:val="center"/>
        <w:rPr>
          <w:sz w:val="14"/>
        </w:rPr>
      </w:pPr>
    </w:p>
    <w:p w:rsidR="00AE3E37" w:rsidRPr="004B73C4" w:rsidRDefault="00292ED9" w:rsidP="00EC5D89">
      <w:pPr>
        <w:pStyle w:val="a3"/>
        <w:spacing w:before="2"/>
        <w:rPr>
          <w:sz w:val="20"/>
        </w:rPr>
      </w:pPr>
      <w:r w:rsidRPr="004B73C4">
        <w:rPr>
          <w:noProof/>
        </w:rPr>
        <mc:AlternateContent>
          <mc:Choice Requires="wps">
            <w:drawing>
              <wp:anchor distT="0" distB="0" distL="0" distR="0" simplePos="0" relativeHeight="1072" behindDoc="0" locked="0" layoutInCell="1" allowOverlap="1" wp14:anchorId="06FB4DBB" wp14:editId="71E1B57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99DE3E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693C3F" w:rsidRDefault="00A9710C" w:rsidP="00693C3F">
      <w:pPr>
        <w:spacing w:before="39"/>
        <w:ind w:left="100"/>
        <w:rPr>
          <w:b/>
          <w:sz w:val="20"/>
        </w:rPr>
        <w:sectPr w:rsidR="00AE3E37" w:rsidRPr="00693C3F">
          <w:type w:val="continuous"/>
          <w:pgSz w:w="11910" w:h="16840"/>
          <w:pgMar w:top="1740" w:right="600" w:bottom="840" w:left="620" w:header="720" w:footer="720" w:gutter="0"/>
          <w:cols w:space="720"/>
        </w:sectPr>
      </w:pPr>
      <w:r w:rsidRPr="004B73C4">
        <w:rPr>
          <w:b/>
          <w:sz w:val="20"/>
        </w:rPr>
        <w:t>Notes/Comments:</w:t>
      </w:r>
    </w:p>
    <w:p w:rsidR="00AE3E37" w:rsidRPr="004B73C4" w:rsidRDefault="00AE3E37">
      <w:pPr>
        <w:pStyle w:val="a3"/>
        <w:spacing w:before="3"/>
        <w:rPr>
          <w:sz w:val="26"/>
        </w:rPr>
      </w:pPr>
      <w:bookmarkStart w:id="1" w:name="_GoBack"/>
      <w:bookmarkEnd w:id="1"/>
    </w:p>
    <w:sectPr w:rsidR="00AE3E37" w:rsidRPr="004B73C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B50" w:rsidRDefault="00C17B50">
      <w:r>
        <w:separator/>
      </w:r>
    </w:p>
  </w:endnote>
  <w:endnote w:type="continuationSeparator" w:id="0">
    <w:p w:rsidR="00C17B50" w:rsidRDefault="00C17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61E61B2C" wp14:editId="53AD491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9D8E219" wp14:editId="5066B98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FE7CE07" wp14:editId="4AD7AA8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B50" w:rsidRDefault="00C17B50">
      <w:r>
        <w:separator/>
      </w:r>
    </w:p>
  </w:footnote>
  <w:footnote w:type="continuationSeparator" w:id="0">
    <w:p w:rsidR="00C17B50" w:rsidRDefault="00C17B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1B33E9" w:rsidRDefault="00292ED9">
    <w:pPr>
      <w:pStyle w:val="a3"/>
      <w:spacing w:line="14" w:lineRule="auto"/>
      <w:rPr>
        <w:color w:val="FF0000"/>
        <w:sz w:val="20"/>
      </w:rPr>
    </w:pPr>
    <w:r w:rsidRPr="001B33E9">
      <w:rPr>
        <w:noProof/>
        <w:color w:val="FF0000"/>
      </w:rPr>
      <mc:AlternateContent>
        <mc:Choice Requires="wps">
          <w:drawing>
            <wp:anchor distT="0" distB="0" distL="114300" distR="114300" simplePos="0" relativeHeight="251656704" behindDoc="1" locked="0" layoutInCell="1" allowOverlap="1" wp14:anchorId="151AD571" wp14:editId="417B177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sidRPr="001B33E9">
      <w:rPr>
        <w:noProof/>
        <w:color w:val="FF0000"/>
      </w:rPr>
      <mc:AlternateContent>
        <mc:Choice Requires="wps">
          <w:drawing>
            <wp:anchor distT="0" distB="0" distL="114300" distR="114300" simplePos="0" relativeHeight="251658752" behindDoc="1" locked="0" layoutInCell="1" allowOverlap="1" wp14:anchorId="2A3FC151" wp14:editId="6AE803C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 o:spid="_x0000_s1027" type="#_x0000_t202" style="position:absolute;margin-left:35pt;margin-top:48.3pt;width:515.95pt;height:40.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44EE4"/>
    <w:multiLevelType w:val="hybridMultilevel"/>
    <w:tmpl w:val="6D3C2E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9CC15F3"/>
    <w:multiLevelType w:val="hybridMultilevel"/>
    <w:tmpl w:val="87E6E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7E130217"/>
    <w:multiLevelType w:val="hybridMultilevel"/>
    <w:tmpl w:val="A2DC5AFA"/>
    <w:lvl w:ilvl="0" w:tplc="0409000B">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449"/>
    <w:rsid w:val="000E2911"/>
    <w:rsid w:val="001263DF"/>
    <w:rsid w:val="0016508F"/>
    <w:rsid w:val="001B33E9"/>
    <w:rsid w:val="00292ED9"/>
    <w:rsid w:val="002C0EAA"/>
    <w:rsid w:val="002E2584"/>
    <w:rsid w:val="003A32EF"/>
    <w:rsid w:val="00404E5B"/>
    <w:rsid w:val="00414F7B"/>
    <w:rsid w:val="004355DC"/>
    <w:rsid w:val="004749B4"/>
    <w:rsid w:val="00494130"/>
    <w:rsid w:val="004B73C4"/>
    <w:rsid w:val="004F3523"/>
    <w:rsid w:val="00516076"/>
    <w:rsid w:val="005973B9"/>
    <w:rsid w:val="005B3A56"/>
    <w:rsid w:val="006060CE"/>
    <w:rsid w:val="0063497F"/>
    <w:rsid w:val="00693C3F"/>
    <w:rsid w:val="00873DF0"/>
    <w:rsid w:val="008756E6"/>
    <w:rsid w:val="00996FA9"/>
    <w:rsid w:val="009B2D44"/>
    <w:rsid w:val="00A07E82"/>
    <w:rsid w:val="00A952BC"/>
    <w:rsid w:val="00A9710C"/>
    <w:rsid w:val="00AE3E37"/>
    <w:rsid w:val="00AE793B"/>
    <w:rsid w:val="00B21A57"/>
    <w:rsid w:val="00B81F4B"/>
    <w:rsid w:val="00C17B50"/>
    <w:rsid w:val="00C33602"/>
    <w:rsid w:val="00CD6F55"/>
    <w:rsid w:val="00D234D5"/>
    <w:rsid w:val="00DD5111"/>
    <w:rsid w:val="00DE3104"/>
    <w:rsid w:val="00E370B7"/>
    <w:rsid w:val="00EC5D8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character" w:customStyle="1" w:styleId="UnresolvedMention">
    <w:name w:val="Unresolved Mention"/>
    <w:basedOn w:val="a0"/>
    <w:uiPriority w:val="99"/>
    <w:semiHidden/>
    <w:unhideWhenUsed/>
    <w:rsid w:val="0016508F"/>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character" w:customStyle="1" w:styleId="UnresolvedMention">
    <w:name w:val="Unresolved Mention"/>
    <w:basedOn w:val="a0"/>
    <w:uiPriority w:val="99"/>
    <w:semiHidden/>
    <w:unhideWhenUsed/>
    <w:rsid w:val="0016508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ef.org/article/1686/Evaluation-of-the-Family-Medicine-Practice-in-Ankara-Province-by-Family-Physician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w.menawi@najah.edu"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C595B-BE14-441D-B755-605D8B61F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7</cp:revision>
  <dcterms:created xsi:type="dcterms:W3CDTF">2017-12-14T11:09:00Z</dcterms:created>
  <dcterms:modified xsi:type="dcterms:W3CDTF">2017-12-14T17:58:00Z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