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414" w:rsidRDefault="00D73414" w:rsidP="00D73414">
      <w:pPr>
        <w:keepNext/>
        <w:keepLines/>
        <w:spacing w:before="480" w:after="0"/>
        <w:jc w:val="center"/>
        <w:outlineLvl w:val="0"/>
        <w:rPr>
          <w:rFonts w:asciiTheme="majorHAnsi" w:eastAsia="Times New Roman" w:hAnsiTheme="majorHAnsi" w:cs="Times New Roman"/>
          <w:b/>
          <w:bCs/>
          <w:color w:val="000000" w:themeColor="text1"/>
          <w:sz w:val="24"/>
          <w:szCs w:val="24"/>
        </w:rPr>
      </w:pPr>
      <w:r w:rsidRPr="00D73414">
        <w:rPr>
          <w:rFonts w:asciiTheme="majorHAnsi" w:eastAsia="Times New Roman" w:hAnsiTheme="majorHAnsi" w:cs="Times New Roman"/>
          <w:b/>
          <w:bCs/>
          <w:color w:val="000000" w:themeColor="text1"/>
          <w:sz w:val="24"/>
          <w:szCs w:val="24"/>
        </w:rPr>
        <w:t>Knowledge of Pulmonary Tuberculosis Dynamics among Family Care Givers at Ojha Institute of Chest Diseases (OICD)</w:t>
      </w:r>
    </w:p>
    <w:p w:rsidR="004271C3" w:rsidRPr="004271C3" w:rsidRDefault="004271C3" w:rsidP="004271C3">
      <w:pPr>
        <w:keepNext/>
        <w:keepLines/>
        <w:spacing w:before="480" w:after="0"/>
        <w:outlineLvl w:val="0"/>
        <w:rPr>
          <w:rFonts w:asciiTheme="majorHAnsi" w:eastAsia="Times New Roman" w:hAnsiTheme="majorHAnsi" w:cs="Times New Roman"/>
          <w:b/>
          <w:bCs/>
          <w:color w:val="000000" w:themeColor="text1"/>
          <w:sz w:val="24"/>
          <w:szCs w:val="24"/>
        </w:rPr>
      </w:pPr>
      <w:r w:rsidRPr="004271C3">
        <w:rPr>
          <w:rFonts w:ascii="Cambria" w:eastAsia="Times New Roman" w:hAnsi="Cambria" w:cs="Times New Roman"/>
          <w:b/>
          <w:bCs/>
          <w:color w:val="000000" w:themeColor="text1"/>
          <w:sz w:val="28"/>
          <w:szCs w:val="28"/>
        </w:rPr>
        <w:t>ABSTRACT</w:t>
      </w:r>
      <w:bookmarkStart w:id="0" w:name="_GoBack"/>
      <w:bookmarkEnd w:id="0"/>
    </w:p>
    <w:p w:rsidR="004271C3" w:rsidRPr="004271C3" w:rsidRDefault="004271C3" w:rsidP="004271C3">
      <w:pPr>
        <w:spacing w:after="0"/>
        <w:jc w:val="both"/>
        <w:rPr>
          <w:rFonts w:ascii="Calibri" w:eastAsia="Times New Roman" w:hAnsi="Calibri" w:cs="Times New Roman"/>
          <w:b/>
          <w:color w:val="000000" w:themeColor="text1"/>
          <w:sz w:val="24"/>
          <w:szCs w:val="24"/>
        </w:rPr>
      </w:pPr>
    </w:p>
    <w:p w:rsidR="004271C3" w:rsidRPr="004271C3" w:rsidRDefault="004271C3" w:rsidP="00D73414">
      <w:pPr>
        <w:spacing w:after="0"/>
        <w:jc w:val="both"/>
        <w:rPr>
          <w:rFonts w:ascii="Calibri" w:eastAsia="Times New Roman" w:hAnsi="Calibri" w:cs="Times New Roman"/>
          <w:b/>
          <w:color w:val="000000" w:themeColor="text1"/>
          <w:sz w:val="24"/>
          <w:szCs w:val="24"/>
        </w:rPr>
      </w:pPr>
      <w:r w:rsidRPr="004271C3">
        <w:rPr>
          <w:rFonts w:ascii="Calibri" w:eastAsia="Times New Roman" w:hAnsi="Calibri" w:cs="Times New Roman"/>
          <w:b/>
          <w:color w:val="000000" w:themeColor="text1"/>
          <w:sz w:val="24"/>
          <w:szCs w:val="24"/>
        </w:rPr>
        <w:t>Background:</w:t>
      </w:r>
    </w:p>
    <w:p w:rsidR="004271C3" w:rsidRPr="004271C3" w:rsidRDefault="004271C3" w:rsidP="00D73414">
      <w:pPr>
        <w:jc w:val="both"/>
        <w:rPr>
          <w:rFonts w:ascii="Calibri" w:eastAsia="+mn-ea" w:hAnsi="Calibri" w:cs="+mn-cs"/>
          <w:bCs/>
          <w:iCs/>
          <w:color w:val="000000"/>
          <w:kern w:val="24"/>
          <w:sz w:val="24"/>
          <w:szCs w:val="24"/>
        </w:rPr>
      </w:pPr>
      <w:r w:rsidRPr="004271C3">
        <w:rPr>
          <w:rFonts w:ascii="Calibri" w:eastAsia="+mn-ea" w:hAnsi="Calibri" w:cs="+mn-cs"/>
          <w:color w:val="000000"/>
          <w:kern w:val="24"/>
          <w:sz w:val="24"/>
          <w:szCs w:val="24"/>
        </w:rPr>
        <w:t xml:space="preserve">Tuberculosis </w:t>
      </w:r>
      <w:r w:rsidRPr="004271C3">
        <w:rPr>
          <w:rFonts w:ascii="Calibri" w:eastAsia="+mn-ea" w:hAnsi="Calibri" w:cs="+mn-cs"/>
          <w:color w:val="000000"/>
          <w:kern w:val="24"/>
          <w:sz w:val="24"/>
          <w:szCs w:val="24"/>
          <w:lang w:val="en-IN"/>
        </w:rPr>
        <w:t>(TB)</w:t>
      </w:r>
      <w:r w:rsidRPr="004271C3">
        <w:rPr>
          <w:rFonts w:ascii="Calibri" w:eastAsia="+mn-ea" w:hAnsi="Calibri" w:cs="+mn-cs"/>
          <w:color w:val="000000"/>
          <w:kern w:val="24"/>
          <w:sz w:val="24"/>
          <w:szCs w:val="24"/>
        </w:rPr>
        <w:t xml:space="preserve"> is a chronic bacterial disease caus</w:t>
      </w:r>
      <w:r>
        <w:rPr>
          <w:rFonts w:ascii="Calibri" w:eastAsia="+mn-ea" w:hAnsi="Calibri" w:cs="+mn-cs"/>
          <w:color w:val="000000"/>
          <w:kern w:val="24"/>
          <w:sz w:val="24"/>
          <w:szCs w:val="24"/>
        </w:rPr>
        <w:t>ed by mycobacterium tuberculosis</w:t>
      </w:r>
      <w:r w:rsidRPr="004271C3">
        <w:rPr>
          <w:rFonts w:ascii="Calibri" w:eastAsia="+mn-ea" w:hAnsi="Calibri" w:cs="+mn-cs"/>
          <w:color w:val="000000"/>
          <w:kern w:val="24"/>
          <w:sz w:val="24"/>
          <w:szCs w:val="24"/>
          <w:vertAlign w:val="superscript"/>
        </w:rPr>
        <w:t>1</w:t>
      </w:r>
      <w:r>
        <w:rPr>
          <w:rFonts w:ascii="Calibri" w:eastAsia="+mn-ea" w:hAnsi="Calibri" w:cs="+mn-cs"/>
          <w:color w:val="000000"/>
          <w:kern w:val="24"/>
          <w:sz w:val="24"/>
          <w:szCs w:val="24"/>
        </w:rPr>
        <w:t xml:space="preserve">. </w:t>
      </w:r>
      <w:r>
        <w:rPr>
          <w:rFonts w:ascii="Calibri" w:eastAsia="+mn-ea" w:hAnsi="Calibri" w:cs="+mn-cs"/>
          <w:color w:val="000000"/>
          <w:kern w:val="24"/>
          <w:sz w:val="24"/>
          <w:szCs w:val="24"/>
          <w:lang w:val="en-IN"/>
        </w:rPr>
        <w:t>Each year</w:t>
      </w:r>
      <w:r w:rsidRPr="004271C3">
        <w:rPr>
          <w:rFonts w:ascii="Calibri" w:eastAsia="+mn-ea" w:hAnsi="Calibri" w:cs="+mn-cs"/>
          <w:color w:val="000000"/>
          <w:kern w:val="24"/>
          <w:sz w:val="24"/>
          <w:szCs w:val="24"/>
          <w:lang w:val="en-IN"/>
        </w:rPr>
        <w:t xml:space="preserve"> about 9 million people become victims of tuberc</w:t>
      </w:r>
      <w:r>
        <w:rPr>
          <w:rFonts w:ascii="Calibri" w:eastAsia="+mn-ea" w:hAnsi="Calibri" w:cs="+mn-cs"/>
          <w:color w:val="000000"/>
          <w:kern w:val="24"/>
          <w:sz w:val="24"/>
          <w:szCs w:val="24"/>
          <w:lang w:val="en-IN"/>
        </w:rPr>
        <w:t xml:space="preserve">ulosis (TB) and 1.6 million die </w:t>
      </w:r>
      <w:r w:rsidRPr="004271C3">
        <w:rPr>
          <w:rFonts w:ascii="Calibri" w:eastAsia="+mn-ea" w:hAnsi="Calibri" w:cs="+mn-cs"/>
          <w:color w:val="000000"/>
          <w:kern w:val="24"/>
          <w:sz w:val="24"/>
          <w:szCs w:val="24"/>
          <w:lang w:val="en-IN"/>
        </w:rPr>
        <w:t>worldwide</w:t>
      </w:r>
      <w:r w:rsidRPr="004271C3">
        <w:rPr>
          <w:rFonts w:ascii="Calibri" w:eastAsia="+mn-ea" w:hAnsi="Calibri" w:cs="+mn-cs"/>
          <w:color w:val="000000"/>
          <w:kern w:val="24"/>
          <w:sz w:val="24"/>
          <w:szCs w:val="24"/>
          <w:vertAlign w:val="superscript"/>
          <w:lang w:val="en-IN"/>
        </w:rPr>
        <w:t>2</w:t>
      </w:r>
      <w:r>
        <w:rPr>
          <w:rFonts w:ascii="Calibri" w:eastAsia="+mn-ea" w:hAnsi="Calibri" w:cs="+mn-cs"/>
          <w:color w:val="000000"/>
          <w:kern w:val="24"/>
          <w:sz w:val="24"/>
          <w:szCs w:val="24"/>
          <w:lang w:val="en-IN"/>
        </w:rPr>
        <w:t xml:space="preserve">. </w:t>
      </w:r>
      <w:r w:rsidRPr="004271C3">
        <w:rPr>
          <w:rFonts w:ascii="Calibri" w:eastAsia="+mn-ea" w:hAnsi="Calibri" w:cs="+mn-cs"/>
          <w:color w:val="000000"/>
          <w:kern w:val="24"/>
        </w:rPr>
        <w:t xml:space="preserve">Literature reveals that over 95% of these TB-related deaths occur in low- and middle-income </w:t>
      </w:r>
      <w:r w:rsidRPr="004271C3">
        <w:rPr>
          <w:rFonts w:ascii="Calibri" w:eastAsia="+mn-ea" w:hAnsi="Calibri" w:cs="+mn-cs"/>
          <w:color w:val="000000"/>
          <w:kern w:val="24"/>
        </w:rPr>
        <w:t xml:space="preserve">countries where education </w:t>
      </w:r>
      <w:r w:rsidRPr="004271C3">
        <w:rPr>
          <w:rFonts w:ascii="Calibri" w:eastAsia="+mn-ea" w:hAnsi="Calibri" w:cs="+mn-cs"/>
          <w:color w:val="000000"/>
          <w:kern w:val="24"/>
        </w:rPr>
        <w:t>and public health infor</w:t>
      </w:r>
      <w:r w:rsidRPr="004271C3">
        <w:rPr>
          <w:rFonts w:ascii="Calibri" w:eastAsia="+mn-ea" w:hAnsi="Calibri" w:cs="+mn-cs"/>
          <w:color w:val="000000"/>
          <w:kern w:val="24"/>
        </w:rPr>
        <w:t>mation are often less accessible</w:t>
      </w:r>
      <w:r w:rsidRPr="004271C3">
        <w:rPr>
          <w:rFonts w:ascii="Calibri" w:eastAsia="+mn-ea" w:hAnsi="Calibri" w:cs="+mn-cs"/>
          <w:color w:val="000000"/>
          <w:kern w:val="24"/>
          <w:vertAlign w:val="superscript"/>
        </w:rPr>
        <w:t>3</w:t>
      </w:r>
      <w:r w:rsidRPr="004271C3">
        <w:rPr>
          <w:rFonts w:ascii="Calibri" w:eastAsia="+mn-ea" w:hAnsi="Calibri" w:cs="+mn-cs"/>
          <w:color w:val="000000"/>
          <w:kern w:val="24"/>
          <w:sz w:val="24"/>
          <w:szCs w:val="24"/>
        </w:rPr>
        <w:t>.</w:t>
      </w:r>
      <w:r w:rsidRPr="004271C3">
        <w:rPr>
          <w:rFonts w:ascii="Calibri" w:eastAsia="+mn-ea" w:hAnsi="Calibri" w:cs="+mn-cs"/>
          <w:color w:val="000000"/>
          <w:kern w:val="24"/>
          <w:sz w:val="24"/>
          <w:szCs w:val="24"/>
          <w:lang w:val="en-IN"/>
        </w:rPr>
        <w:t xml:space="preserve"> </w:t>
      </w:r>
      <w:r w:rsidRPr="004271C3">
        <w:rPr>
          <w:rFonts w:ascii="Calibri" w:eastAsia="+mn-ea" w:hAnsi="Calibri" w:cs="+mn-cs"/>
          <w:color w:val="000000"/>
          <w:kern w:val="24"/>
          <w:sz w:val="24"/>
          <w:szCs w:val="24"/>
        </w:rPr>
        <w:t xml:space="preserve">In Pakistan, the prevalence of TB is </w:t>
      </w:r>
      <w:r w:rsidRPr="004271C3">
        <w:rPr>
          <w:rFonts w:ascii="Calibri" w:eastAsia="+mn-ea" w:hAnsi="Calibri" w:cs="+mn-cs"/>
          <w:color w:val="000000"/>
          <w:kern w:val="24"/>
          <w:sz w:val="24"/>
          <w:szCs w:val="24"/>
        </w:rPr>
        <w:t>350 cases per 100,000 population</w:t>
      </w:r>
      <w:r w:rsidRPr="004271C3">
        <w:rPr>
          <w:rFonts w:ascii="Calibri" w:eastAsia="+mn-ea" w:hAnsi="Calibri" w:cs="+mn-cs"/>
          <w:color w:val="000000"/>
          <w:kern w:val="24"/>
          <w:sz w:val="24"/>
          <w:szCs w:val="24"/>
          <w:vertAlign w:val="superscript"/>
        </w:rPr>
        <w:t>4</w:t>
      </w:r>
      <w:r w:rsidR="005F2165">
        <w:rPr>
          <w:rFonts w:ascii="Calibri" w:eastAsia="+mn-ea" w:hAnsi="Calibri" w:cs="+mn-cs"/>
          <w:color w:val="000000"/>
          <w:kern w:val="24"/>
          <w:sz w:val="24"/>
          <w:szCs w:val="24"/>
        </w:rPr>
        <w:t>, while i</w:t>
      </w:r>
      <w:r w:rsidRPr="004271C3">
        <w:rPr>
          <w:rFonts w:ascii="Calibri" w:eastAsia="+mn-ea" w:hAnsi="Calibri" w:cs="+mn-cs"/>
          <w:color w:val="000000"/>
          <w:kern w:val="24"/>
          <w:sz w:val="24"/>
          <w:szCs w:val="24"/>
        </w:rPr>
        <w:t>ncidence measured</w:t>
      </w:r>
      <w:r w:rsidR="005F2165">
        <w:rPr>
          <w:rFonts w:ascii="Calibri" w:eastAsia="+mn-ea" w:hAnsi="Calibri" w:cs="+mn-cs"/>
          <w:color w:val="000000"/>
          <w:kern w:val="24"/>
          <w:sz w:val="24"/>
          <w:szCs w:val="24"/>
        </w:rPr>
        <w:t xml:space="preserve"> 270 cases per 100000 population </w:t>
      </w:r>
      <w:r w:rsidRPr="004271C3">
        <w:rPr>
          <w:rFonts w:ascii="Calibri" w:eastAsia="+mn-ea" w:hAnsi="Calibri" w:cs="+mn-cs"/>
          <w:color w:val="000000"/>
          <w:kern w:val="24"/>
          <w:sz w:val="24"/>
          <w:szCs w:val="24"/>
        </w:rPr>
        <w:t>and nearly 0.3 million new cases arise each y</w:t>
      </w:r>
      <w:r w:rsidRPr="004271C3">
        <w:rPr>
          <w:rFonts w:ascii="Calibri" w:eastAsia="+mn-ea" w:hAnsi="Calibri" w:cs="+mn-cs"/>
          <w:color w:val="000000"/>
          <w:kern w:val="24"/>
          <w:sz w:val="24"/>
          <w:szCs w:val="24"/>
        </w:rPr>
        <w:t>ear</w:t>
      </w:r>
      <w:r w:rsidRPr="004271C3">
        <w:rPr>
          <w:rFonts w:ascii="Calibri" w:eastAsia="+mn-ea" w:hAnsi="Calibri" w:cs="+mn-cs"/>
          <w:color w:val="000000"/>
          <w:kern w:val="24"/>
          <w:sz w:val="24"/>
          <w:szCs w:val="24"/>
          <w:vertAlign w:val="superscript"/>
        </w:rPr>
        <w:t>3</w:t>
      </w:r>
      <w:r w:rsidRPr="004271C3">
        <w:rPr>
          <w:rFonts w:ascii="Calibri" w:eastAsia="+mn-ea" w:hAnsi="Calibri" w:cs="+mn-cs"/>
          <w:color w:val="000000"/>
          <w:kern w:val="24"/>
          <w:sz w:val="24"/>
          <w:szCs w:val="24"/>
        </w:rPr>
        <w:t>.</w:t>
      </w:r>
      <w:r w:rsidR="00A96A50">
        <w:rPr>
          <w:rFonts w:ascii="Calibri" w:eastAsia="+mn-ea" w:hAnsi="Calibri" w:cs="+mn-cs"/>
          <w:color w:val="000000"/>
          <w:kern w:val="24"/>
          <w:sz w:val="24"/>
          <w:szCs w:val="24"/>
        </w:rPr>
        <w:t xml:space="preserve"> </w:t>
      </w:r>
      <w:r w:rsidR="00A96A50" w:rsidRPr="00A96A50">
        <w:rPr>
          <w:rFonts w:ascii="Calibri" w:eastAsia="+mn-ea" w:hAnsi="Calibri" w:cs="+mn-cs"/>
          <w:bCs/>
          <w:iCs/>
          <w:color w:val="000000"/>
          <w:kern w:val="24"/>
          <w:sz w:val="24"/>
          <w:szCs w:val="24"/>
        </w:rPr>
        <w:t>Globally, Pakistan ranks eighth for the high TB incidence</w:t>
      </w:r>
      <w:r w:rsidR="00A96A50">
        <w:rPr>
          <w:rFonts w:ascii="Calibri" w:eastAsia="+mn-ea" w:hAnsi="Calibri" w:cs="+mn-cs"/>
          <w:bCs/>
          <w:iCs/>
          <w:color w:val="000000"/>
          <w:kern w:val="24"/>
          <w:sz w:val="24"/>
          <w:szCs w:val="24"/>
          <w:vertAlign w:val="superscript"/>
        </w:rPr>
        <w:t>1</w:t>
      </w:r>
      <w:r w:rsidR="00A96A50" w:rsidRPr="00A96A50">
        <w:rPr>
          <w:rFonts w:ascii="Calibri" w:eastAsia="+mn-ea" w:hAnsi="Calibri" w:cs="+mn-cs"/>
          <w:bCs/>
          <w:iCs/>
          <w:color w:val="000000"/>
          <w:kern w:val="24"/>
          <w:sz w:val="24"/>
          <w:szCs w:val="24"/>
        </w:rPr>
        <w:t>.</w:t>
      </w:r>
      <w:r w:rsidR="00A96A50">
        <w:rPr>
          <w:rFonts w:ascii="Calibri" w:eastAsia="+mn-ea" w:hAnsi="Calibri" w:cs="+mn-cs"/>
          <w:bCs/>
          <w:iCs/>
          <w:color w:val="000000"/>
          <w:kern w:val="24"/>
          <w:sz w:val="24"/>
          <w:szCs w:val="24"/>
        </w:rPr>
        <w:t xml:space="preserve"> </w:t>
      </w:r>
      <w:r w:rsidR="002D32B4" w:rsidRPr="00A96A50">
        <w:rPr>
          <w:rFonts w:ascii="Calibri" w:eastAsia="+mn-ea" w:hAnsi="Calibri" w:cs="+mn-cs"/>
          <w:bCs/>
          <w:iCs/>
          <w:color w:val="000000"/>
          <w:kern w:val="24"/>
          <w:sz w:val="24"/>
          <w:szCs w:val="24"/>
        </w:rPr>
        <w:t>Delayed presentation is considered as a reason for growing burden of TB in developing countries</w:t>
      </w:r>
      <w:r w:rsidR="002D32B4" w:rsidRPr="00A96A50">
        <w:rPr>
          <w:rFonts w:ascii="Calibri" w:eastAsia="+mn-ea" w:hAnsi="Calibri" w:cs="+mn-cs"/>
          <w:bCs/>
          <w:iCs/>
          <w:color w:val="000000"/>
          <w:kern w:val="24"/>
          <w:sz w:val="24"/>
          <w:szCs w:val="24"/>
          <w:vertAlign w:val="superscript"/>
        </w:rPr>
        <w:t>5</w:t>
      </w:r>
      <w:r w:rsidR="002D32B4" w:rsidRPr="00A96A50">
        <w:rPr>
          <w:rFonts w:ascii="Calibri" w:eastAsia="+mn-ea" w:hAnsi="Calibri" w:cs="+mn-cs"/>
          <w:bCs/>
          <w:iCs/>
          <w:color w:val="000000"/>
          <w:kern w:val="24"/>
          <w:sz w:val="24"/>
          <w:szCs w:val="24"/>
        </w:rPr>
        <w:t xml:space="preserve">. </w:t>
      </w:r>
    </w:p>
    <w:p w:rsidR="004271C3" w:rsidRPr="004271C3" w:rsidRDefault="004271C3" w:rsidP="004271C3">
      <w:pPr>
        <w:tabs>
          <w:tab w:val="left" w:pos="1995"/>
        </w:tabs>
        <w:spacing w:after="0"/>
        <w:jc w:val="both"/>
        <w:rPr>
          <w:rFonts w:ascii="Calibri" w:eastAsia="Times New Roman" w:hAnsi="Calibri" w:cs="Times New Roman"/>
          <w:color w:val="000000" w:themeColor="text1"/>
          <w:sz w:val="24"/>
          <w:szCs w:val="24"/>
        </w:rPr>
      </w:pPr>
      <w:r w:rsidRPr="004271C3">
        <w:rPr>
          <w:rFonts w:ascii="Calibri" w:eastAsia="Times New Roman" w:hAnsi="Calibri" w:cs="Times New Roman"/>
          <w:b/>
          <w:color w:val="000000" w:themeColor="text1"/>
          <w:sz w:val="24"/>
          <w:szCs w:val="24"/>
        </w:rPr>
        <w:t>Objectives:</w:t>
      </w:r>
      <w:r w:rsidRPr="004271C3">
        <w:rPr>
          <w:rFonts w:ascii="Calibri" w:eastAsia="Times New Roman" w:hAnsi="Calibri" w:cs="Times New Roman"/>
          <w:b/>
          <w:color w:val="000000" w:themeColor="text1"/>
          <w:sz w:val="24"/>
          <w:szCs w:val="24"/>
        </w:rPr>
        <w:tab/>
      </w:r>
    </w:p>
    <w:p w:rsidR="004271C3" w:rsidRPr="004271C3" w:rsidRDefault="00A96A50" w:rsidP="00A96A50">
      <w:pPr>
        <w:rPr>
          <w:sz w:val="24"/>
          <w:szCs w:val="24"/>
        </w:rPr>
      </w:pPr>
      <w:r>
        <w:rPr>
          <w:rFonts w:ascii="Calibri" w:eastAsia="+mn-ea" w:hAnsi="Calibri" w:cs="+mn-cs"/>
          <w:color w:val="000000"/>
          <w:kern w:val="24"/>
          <w:sz w:val="24"/>
          <w:szCs w:val="24"/>
        </w:rPr>
        <w:t>The study seeks t</w:t>
      </w:r>
      <w:r w:rsidRPr="00A96A50">
        <w:rPr>
          <w:rFonts w:ascii="Calibri" w:eastAsia="+mn-ea" w:hAnsi="Calibri" w:cs="+mn-cs"/>
          <w:color w:val="000000"/>
          <w:kern w:val="24"/>
          <w:sz w:val="24"/>
          <w:szCs w:val="24"/>
        </w:rPr>
        <w:t>o assess the level of knowledge regarding pulmonary tuberculosis among family care givers at Ojha Institute of Chest Diseases (OICD).</w:t>
      </w:r>
    </w:p>
    <w:p w:rsidR="004271C3" w:rsidRDefault="004271C3" w:rsidP="004271C3">
      <w:pPr>
        <w:spacing w:after="0"/>
        <w:jc w:val="both"/>
        <w:rPr>
          <w:rFonts w:ascii="Calibri" w:eastAsia="Times New Roman" w:hAnsi="Calibri" w:cs="Times New Roman"/>
          <w:b/>
          <w:color w:val="000000" w:themeColor="text1"/>
          <w:sz w:val="24"/>
          <w:szCs w:val="24"/>
        </w:rPr>
      </w:pPr>
      <w:r w:rsidRPr="004271C3">
        <w:rPr>
          <w:rFonts w:ascii="Calibri" w:eastAsia="Times New Roman" w:hAnsi="Calibri" w:cs="Times New Roman"/>
          <w:b/>
          <w:color w:val="000000" w:themeColor="text1"/>
          <w:sz w:val="24"/>
          <w:szCs w:val="24"/>
        </w:rPr>
        <w:t>Methods:</w:t>
      </w:r>
    </w:p>
    <w:p w:rsidR="008B669D" w:rsidRPr="004271C3" w:rsidRDefault="008B669D" w:rsidP="004271C3">
      <w:pPr>
        <w:spacing w:after="0"/>
        <w:jc w:val="both"/>
        <w:rPr>
          <w:rFonts w:ascii="Calibri" w:eastAsia="Times New Roman" w:hAnsi="Calibri" w:cs="Times New Roman"/>
          <w:color w:val="000000" w:themeColor="text1"/>
          <w:sz w:val="24"/>
          <w:szCs w:val="24"/>
        </w:rPr>
      </w:pPr>
      <w:r w:rsidRPr="008B669D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cross sectional </w:t>
      </w:r>
      <w:r w:rsidRPr="008B669D">
        <w:rPr>
          <w:sz w:val="24"/>
          <w:szCs w:val="24"/>
        </w:rPr>
        <w:t xml:space="preserve">descriptive design was employed with a </w:t>
      </w:r>
      <w:r w:rsidR="00D73414">
        <w:rPr>
          <w:sz w:val="24"/>
          <w:szCs w:val="24"/>
        </w:rPr>
        <w:t xml:space="preserve">convenient sample technique. </w:t>
      </w:r>
      <w:r w:rsidRPr="008B669D">
        <w:rPr>
          <w:sz w:val="24"/>
          <w:szCs w:val="24"/>
        </w:rPr>
        <w:t xml:space="preserve">The instrument comprised of a </w:t>
      </w:r>
      <w:r w:rsidR="00D73414">
        <w:rPr>
          <w:sz w:val="24"/>
          <w:szCs w:val="24"/>
        </w:rPr>
        <w:t>two</w:t>
      </w:r>
      <w:r w:rsidRPr="008B669D">
        <w:rPr>
          <w:sz w:val="24"/>
          <w:szCs w:val="24"/>
        </w:rPr>
        <w:t>-sec</w:t>
      </w:r>
      <w:r w:rsidR="00D73414">
        <w:rPr>
          <w:sz w:val="24"/>
          <w:szCs w:val="24"/>
        </w:rPr>
        <w:t>tion questionnaire. A total of 55</w:t>
      </w:r>
      <w:r w:rsidRPr="008B669D">
        <w:rPr>
          <w:sz w:val="24"/>
          <w:szCs w:val="24"/>
        </w:rPr>
        <w:t xml:space="preserve"> responses were </w:t>
      </w:r>
      <w:r w:rsidR="00D73414" w:rsidRPr="008B669D">
        <w:rPr>
          <w:sz w:val="24"/>
          <w:szCs w:val="24"/>
        </w:rPr>
        <w:t>analyzed</w:t>
      </w:r>
      <w:r w:rsidRPr="008B669D">
        <w:rPr>
          <w:sz w:val="24"/>
          <w:szCs w:val="24"/>
        </w:rPr>
        <w:t>.</w:t>
      </w:r>
    </w:p>
    <w:p w:rsidR="004271C3" w:rsidRPr="00D73414" w:rsidRDefault="00D73414" w:rsidP="004271C3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b/>
          <w:color w:val="000000" w:themeColor="text1"/>
          <w:sz w:val="24"/>
          <w:szCs w:val="24"/>
        </w:rPr>
      </w:pPr>
      <w:r w:rsidRPr="00D73414">
        <w:rPr>
          <w:rFonts w:ascii="Calibri" w:eastAsia="Calibri" w:hAnsi="Calibri" w:cs="Times New Roman"/>
          <w:b/>
          <w:color w:val="000000" w:themeColor="text1"/>
          <w:sz w:val="24"/>
          <w:szCs w:val="24"/>
        </w:rPr>
        <w:t xml:space="preserve">Results: </w:t>
      </w:r>
    </w:p>
    <w:p w:rsidR="00000000" w:rsidRPr="00D73414" w:rsidRDefault="002D32B4" w:rsidP="00D7341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color w:val="000000" w:themeColor="text1"/>
          <w:sz w:val="24"/>
          <w:szCs w:val="24"/>
        </w:rPr>
      </w:pPr>
      <w:r w:rsidRPr="00D73414">
        <w:rPr>
          <w:rFonts w:ascii="Calibri" w:eastAsia="Calibri" w:hAnsi="Calibri" w:cs="Times New Roman"/>
          <w:color w:val="000000" w:themeColor="text1"/>
          <w:sz w:val="24"/>
          <w:szCs w:val="24"/>
        </w:rPr>
        <w:t xml:space="preserve">The results of our study revealed that level of knowledge among family care givers of tuberculosis patients at OICD mostly falls on </w:t>
      </w:r>
      <w:r w:rsidRPr="00D73414">
        <w:rPr>
          <w:rFonts w:ascii="Calibri" w:eastAsia="Calibri" w:hAnsi="Calibri" w:cs="Times New Roman"/>
          <w:b/>
          <w:bCs/>
          <w:color w:val="000000" w:themeColor="text1"/>
          <w:sz w:val="24"/>
          <w:szCs w:val="24"/>
        </w:rPr>
        <w:t>Very</w:t>
      </w:r>
      <w:r w:rsidRPr="00D73414">
        <w:rPr>
          <w:rFonts w:ascii="Calibri" w:eastAsia="Calibri" w:hAnsi="Calibri" w:cs="Times New Roman"/>
          <w:color w:val="000000" w:themeColor="text1"/>
          <w:sz w:val="24"/>
          <w:szCs w:val="24"/>
        </w:rPr>
        <w:t xml:space="preserve"> </w:t>
      </w:r>
      <w:r w:rsidRPr="00D73414">
        <w:rPr>
          <w:rFonts w:ascii="Calibri" w:eastAsia="Calibri" w:hAnsi="Calibri" w:cs="Times New Roman"/>
          <w:b/>
          <w:bCs/>
          <w:i/>
          <w:iCs/>
          <w:color w:val="000000" w:themeColor="text1"/>
          <w:sz w:val="24"/>
          <w:szCs w:val="24"/>
        </w:rPr>
        <w:t xml:space="preserve">Low level </w:t>
      </w:r>
      <w:r w:rsidRPr="00D73414">
        <w:rPr>
          <w:rFonts w:ascii="Calibri" w:eastAsia="Calibri" w:hAnsi="Calibri" w:cs="Times New Roman"/>
          <w:color w:val="000000" w:themeColor="text1"/>
          <w:sz w:val="24"/>
          <w:szCs w:val="24"/>
        </w:rPr>
        <w:t xml:space="preserve">which is </w:t>
      </w:r>
      <w:r w:rsidRPr="00D73414">
        <w:rPr>
          <w:rFonts w:ascii="Calibri" w:eastAsia="Calibri" w:hAnsi="Calibri" w:cs="Times New Roman"/>
          <w:b/>
          <w:bCs/>
          <w:i/>
          <w:iCs/>
          <w:color w:val="000000" w:themeColor="text1"/>
          <w:sz w:val="24"/>
          <w:szCs w:val="24"/>
        </w:rPr>
        <w:t>38.1%.</w:t>
      </w:r>
    </w:p>
    <w:p w:rsidR="00D73414" w:rsidRPr="00D73414" w:rsidRDefault="00D73414" w:rsidP="004271C3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b/>
          <w:color w:val="000000" w:themeColor="text1"/>
          <w:sz w:val="24"/>
          <w:szCs w:val="24"/>
        </w:rPr>
      </w:pPr>
      <w:r w:rsidRPr="00D73414">
        <w:rPr>
          <w:rFonts w:ascii="Calibri" w:eastAsia="Calibri" w:hAnsi="Calibri" w:cs="Times New Roman"/>
          <w:b/>
          <w:color w:val="000000" w:themeColor="text1"/>
          <w:sz w:val="24"/>
          <w:szCs w:val="24"/>
        </w:rPr>
        <w:t>Conclusion:</w:t>
      </w:r>
    </w:p>
    <w:p w:rsidR="00000000" w:rsidRPr="00D73414" w:rsidRDefault="002D32B4" w:rsidP="00D7341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color w:val="000000" w:themeColor="text1"/>
          <w:sz w:val="24"/>
          <w:szCs w:val="24"/>
        </w:rPr>
      </w:pPr>
      <w:r w:rsidRPr="00D73414">
        <w:rPr>
          <w:rFonts w:ascii="Calibri" w:eastAsia="Calibri" w:hAnsi="Calibri" w:cs="Times New Roman"/>
          <w:color w:val="000000" w:themeColor="text1"/>
          <w:sz w:val="24"/>
          <w:szCs w:val="24"/>
        </w:rPr>
        <w:t>On the basis of this result we can suggest proper heath education program should be initiated to improve the level of knowledge among family care giver.</w:t>
      </w:r>
    </w:p>
    <w:p w:rsidR="00D73414" w:rsidRPr="004271C3" w:rsidRDefault="00D73414" w:rsidP="004271C3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color w:val="000000" w:themeColor="text1"/>
          <w:sz w:val="24"/>
          <w:szCs w:val="24"/>
        </w:rPr>
      </w:pPr>
    </w:p>
    <w:p w:rsidR="004271C3" w:rsidRPr="004271C3" w:rsidRDefault="004271C3" w:rsidP="004271C3">
      <w:pPr>
        <w:spacing w:after="0"/>
        <w:jc w:val="both"/>
        <w:rPr>
          <w:rFonts w:ascii="Calibri" w:eastAsia="Times New Roman" w:hAnsi="Calibri" w:cs="Times New Roman"/>
          <w:b/>
          <w:color w:val="000000" w:themeColor="text1"/>
          <w:sz w:val="24"/>
          <w:szCs w:val="24"/>
        </w:rPr>
      </w:pPr>
      <w:r w:rsidRPr="004271C3">
        <w:rPr>
          <w:rFonts w:ascii="Calibri" w:eastAsia="Times New Roman" w:hAnsi="Calibri" w:cs="Times New Roman"/>
          <w:b/>
          <w:color w:val="000000" w:themeColor="text1"/>
          <w:sz w:val="24"/>
          <w:szCs w:val="24"/>
        </w:rPr>
        <w:t xml:space="preserve">Key Words: </w:t>
      </w:r>
      <w:r w:rsidR="00D73414" w:rsidRPr="00D73414">
        <w:rPr>
          <w:rFonts w:ascii="Calibri" w:eastAsia="Times New Roman" w:hAnsi="Calibri" w:cs="Times New Roman"/>
          <w:color w:val="000000" w:themeColor="text1"/>
          <w:sz w:val="24"/>
          <w:szCs w:val="24"/>
        </w:rPr>
        <w:t>Tuberculosis</w:t>
      </w:r>
      <w:r w:rsidR="00D73414">
        <w:rPr>
          <w:rFonts w:ascii="Calibri" w:eastAsia="Calibri" w:hAnsi="Calibri" w:cs="Times New Roman"/>
          <w:color w:val="000000" w:themeColor="text1"/>
          <w:sz w:val="24"/>
          <w:szCs w:val="24"/>
        </w:rPr>
        <w:t xml:space="preserve">, family care giver, knowledge, </w:t>
      </w:r>
    </w:p>
    <w:p w:rsidR="005019CA" w:rsidRDefault="005019CA"/>
    <w:sectPr w:rsidR="005019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2B4" w:rsidRDefault="002D32B4" w:rsidP="00D73414">
      <w:pPr>
        <w:spacing w:after="0" w:line="240" w:lineRule="auto"/>
      </w:pPr>
      <w:r>
        <w:separator/>
      </w:r>
    </w:p>
  </w:endnote>
  <w:endnote w:type="continuationSeparator" w:id="0">
    <w:p w:rsidR="002D32B4" w:rsidRDefault="002D32B4" w:rsidP="00D73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2B4" w:rsidRDefault="002D32B4" w:rsidP="00D73414">
      <w:pPr>
        <w:spacing w:after="0" w:line="240" w:lineRule="auto"/>
      </w:pPr>
      <w:r>
        <w:separator/>
      </w:r>
    </w:p>
  </w:footnote>
  <w:footnote w:type="continuationSeparator" w:id="0">
    <w:p w:rsidR="002D32B4" w:rsidRDefault="002D32B4" w:rsidP="00D734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A402E"/>
    <w:multiLevelType w:val="hybridMultilevel"/>
    <w:tmpl w:val="AE8A5C0C"/>
    <w:lvl w:ilvl="0" w:tplc="99387B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68AB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2EB1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38A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EE8A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FACC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5C69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897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8051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9E41FDF"/>
    <w:multiLevelType w:val="hybridMultilevel"/>
    <w:tmpl w:val="EB1E9548"/>
    <w:lvl w:ilvl="0" w:tplc="5C1862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EEDD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8AA1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AC21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60EA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08EC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9604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E0C0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1855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A486E8A"/>
    <w:multiLevelType w:val="hybridMultilevel"/>
    <w:tmpl w:val="E410B534"/>
    <w:lvl w:ilvl="0" w:tplc="36DCE9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E07A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B8B9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1CF3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9619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AC00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EEB2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065C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C068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4A4E4638"/>
    <w:multiLevelType w:val="hybridMultilevel"/>
    <w:tmpl w:val="1F0A0FC6"/>
    <w:lvl w:ilvl="0" w:tplc="6C00D2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D426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0655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18AA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8E4A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DE0F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3604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629D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2E20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CD958FD"/>
    <w:multiLevelType w:val="hybridMultilevel"/>
    <w:tmpl w:val="3F5E4514"/>
    <w:lvl w:ilvl="0" w:tplc="6CAEBA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76FF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1EBF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98E7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8C0D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9E55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FCF4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AA5D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CE7A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4E3A42B8"/>
    <w:multiLevelType w:val="hybridMultilevel"/>
    <w:tmpl w:val="917011D4"/>
    <w:lvl w:ilvl="0" w:tplc="50AE9A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AEBC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9C2D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9647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F691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403B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A4DE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66D5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4694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6EB8638A"/>
    <w:multiLevelType w:val="hybridMultilevel"/>
    <w:tmpl w:val="C6FE7816"/>
    <w:lvl w:ilvl="0" w:tplc="6DDC1F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4876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3C0F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2698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4C8E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BE85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807C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2EA3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0EEB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7AB"/>
    <w:rsid w:val="00250F19"/>
    <w:rsid w:val="002D32B4"/>
    <w:rsid w:val="004271C3"/>
    <w:rsid w:val="005019CA"/>
    <w:rsid w:val="005F2165"/>
    <w:rsid w:val="008B669D"/>
    <w:rsid w:val="00A96A50"/>
    <w:rsid w:val="00D73414"/>
    <w:rsid w:val="00E30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71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96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734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414"/>
  </w:style>
  <w:style w:type="paragraph" w:styleId="Footer">
    <w:name w:val="footer"/>
    <w:basedOn w:val="Normal"/>
    <w:link w:val="FooterChar"/>
    <w:uiPriority w:val="99"/>
    <w:unhideWhenUsed/>
    <w:rsid w:val="00D734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4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71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96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734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414"/>
  </w:style>
  <w:style w:type="paragraph" w:styleId="Footer">
    <w:name w:val="footer"/>
    <w:basedOn w:val="Normal"/>
    <w:link w:val="FooterChar"/>
    <w:uiPriority w:val="99"/>
    <w:unhideWhenUsed/>
    <w:rsid w:val="00D734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7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1131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6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824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09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592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3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26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71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54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7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091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4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12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7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157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Rehan</dc:creator>
  <cp:keywords/>
  <dc:description/>
  <cp:lastModifiedBy>Muhammad Rehan</cp:lastModifiedBy>
  <cp:revision>5</cp:revision>
  <dcterms:created xsi:type="dcterms:W3CDTF">2017-04-24T04:12:00Z</dcterms:created>
  <dcterms:modified xsi:type="dcterms:W3CDTF">2017-04-24T05:30:00Z</dcterms:modified>
</cp:coreProperties>
</file>