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EC8F6" w14:textId="77777777" w:rsidR="00832C75" w:rsidRDefault="00244556" w:rsidP="000534A1">
      <w:pPr>
        <w:pStyle w:val="1"/>
        <w:spacing w:before="170"/>
        <w:ind w:left="0"/>
        <w:jc w:val="both"/>
        <w:rPr>
          <w:color w:val="337AB7"/>
        </w:rPr>
      </w:pPr>
      <w:r w:rsidRPr="00244556">
        <w:rPr>
          <w:color w:val="337AB7"/>
        </w:rPr>
        <w:t>Association</w:t>
      </w:r>
      <w:r w:rsidR="00A9710C">
        <w:rPr>
          <w:color w:val="337AB7"/>
        </w:rPr>
        <w:t xml:space="preserve"> </w:t>
      </w:r>
      <w:r w:rsidRPr="00244556">
        <w:rPr>
          <w:color w:val="337AB7"/>
        </w:rPr>
        <w:t>between sarcopenia and mortality risk in older adults</w:t>
      </w:r>
    </w:p>
    <w:p w14:paraId="30D6F168" w14:textId="2B037D68" w:rsidR="00AE3E37" w:rsidRDefault="00244556" w:rsidP="000534A1">
      <w:pPr>
        <w:pStyle w:val="1"/>
        <w:spacing w:before="170"/>
        <w:ind w:left="0"/>
        <w:jc w:val="both"/>
      </w:pPr>
      <w:r w:rsidRPr="00244556">
        <w:rPr>
          <w:color w:val="337AB7"/>
        </w:rPr>
        <w:t xml:space="preserve"> </w:t>
      </w:r>
    </w:p>
    <w:p w14:paraId="05195AFF" w14:textId="5E55DAB1" w:rsidR="00652B95" w:rsidRDefault="00652B95" w:rsidP="005973B9">
      <w:pPr>
        <w:pStyle w:val="a3"/>
        <w:spacing w:before="73" w:line="198" w:lineRule="exact"/>
        <w:ind w:left="100" w:right="5987"/>
        <w:rPr>
          <w:rFonts w:ascii="新細明體" w:eastAsia="新細明體" w:hAnsi="新細明體" w:cs="新細明體"/>
        </w:rPr>
      </w:pPr>
      <w:bookmarkStart w:id="0" w:name="_Hlk130482600"/>
      <w:r w:rsidRPr="00652B95">
        <w:rPr>
          <w:rFonts w:ascii="Arial"/>
        </w:rPr>
        <w:t>Yu-Chen Su</w:t>
      </w:r>
      <w:bookmarkEnd w:id="0"/>
      <w:r w:rsidRPr="00652B95">
        <w:rPr>
          <w:rFonts w:ascii="Arial"/>
        </w:rPr>
        <w:t xml:space="preserve"> , PhD Department of Nursing, College of Nursing, National Taipei University of Nursing and Health Sciences</w:t>
      </w:r>
      <w:r w:rsidR="005973B9">
        <w:rPr>
          <w:rFonts w:ascii="Arial"/>
        </w:rPr>
        <w:t xml:space="preserve">, </w:t>
      </w:r>
      <w:r>
        <w:rPr>
          <w:rFonts w:ascii="Arial"/>
        </w:rPr>
        <w:t>Taiwan</w:t>
      </w:r>
    </w:p>
    <w:p w14:paraId="40F7E9BD" w14:textId="6B5BA6E1" w:rsidR="005973B9" w:rsidRDefault="00652B95" w:rsidP="005973B9">
      <w:pPr>
        <w:pStyle w:val="a3"/>
        <w:spacing w:before="73" w:line="198" w:lineRule="exact"/>
        <w:ind w:left="100" w:right="5987"/>
        <w:rPr>
          <w:rFonts w:ascii="Arial"/>
        </w:rPr>
      </w:pPr>
      <w:bookmarkStart w:id="1" w:name="_Hlk130482644"/>
      <w:r w:rsidRPr="00652B95">
        <w:rPr>
          <w:rFonts w:ascii="Arial"/>
        </w:rPr>
        <w:t>Shu-Fang Chang</w:t>
      </w:r>
      <w:bookmarkEnd w:id="1"/>
      <w:r w:rsidRPr="00652B95">
        <w:rPr>
          <w:rFonts w:ascii="Arial"/>
        </w:rPr>
        <w:t xml:space="preserve"> , Professor Department of Nursing, College of Nursing, National Taipei University of Nursing and Health Sciences</w:t>
      </w:r>
      <w:r w:rsidR="005973B9">
        <w:rPr>
          <w:rFonts w:ascii="Arial"/>
        </w:rPr>
        <w:t xml:space="preserve">, </w:t>
      </w:r>
      <w:r w:rsidRPr="00652B95">
        <w:rPr>
          <w:rFonts w:ascii="Arial"/>
        </w:rPr>
        <w:t>Taiwan</w:t>
      </w:r>
    </w:p>
    <w:p w14:paraId="01CED207" w14:textId="77777777" w:rsidR="00AE3E37" w:rsidRDefault="00AE3E37">
      <w:pPr>
        <w:pStyle w:val="a3"/>
        <w:rPr>
          <w:rFonts w:ascii="Arial"/>
          <w:sz w:val="20"/>
        </w:rPr>
      </w:pPr>
    </w:p>
    <w:p w14:paraId="765C0C43"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444F6F9C" w14:textId="77777777" w:rsidR="00AE3E37" w:rsidRDefault="00A9710C">
      <w:pPr>
        <w:pStyle w:val="3"/>
        <w:spacing w:before="147"/>
        <w:jc w:val="both"/>
      </w:pPr>
      <w:r>
        <w:rPr>
          <w:color w:val="BF5A14"/>
        </w:rPr>
        <w:t>Abstract</w:t>
      </w:r>
      <w:r w:rsidR="00404E5B">
        <w:rPr>
          <w:color w:val="BF5A14"/>
        </w:rPr>
        <w:t xml:space="preserve"> (300 word limit)</w:t>
      </w:r>
    </w:p>
    <w:p w14:paraId="4DF2252C" w14:textId="77777777" w:rsidR="00652B95" w:rsidRPr="00652B95" w:rsidRDefault="00652B95" w:rsidP="00652B95">
      <w:pPr>
        <w:pStyle w:val="3"/>
        <w:spacing w:before="74"/>
        <w:rPr>
          <w:rFonts w:ascii="Tw Cen MT" w:eastAsia="Tw Cen MT" w:hAnsi="Tw Cen MT" w:cs="Tw Cen MT"/>
          <w:b w:val="0"/>
          <w:bCs w:val="0"/>
          <w:sz w:val="18"/>
          <w:szCs w:val="18"/>
        </w:rPr>
      </w:pPr>
      <w:r w:rsidRPr="00652B95">
        <w:rPr>
          <w:rFonts w:ascii="Tw Cen MT" w:eastAsia="Tw Cen MT" w:hAnsi="Tw Cen MT" w:cs="Tw Cen MT"/>
          <w:b w:val="0"/>
          <w:bCs w:val="0"/>
          <w:sz w:val="18"/>
          <w:szCs w:val="18"/>
        </w:rPr>
        <w:t>Purposes:</w:t>
      </w:r>
    </w:p>
    <w:p w14:paraId="5D88F27B" w14:textId="77777777" w:rsidR="00652B95" w:rsidRPr="00652B95" w:rsidRDefault="00652B95" w:rsidP="00652B95">
      <w:pPr>
        <w:pStyle w:val="3"/>
        <w:spacing w:before="74"/>
        <w:rPr>
          <w:rFonts w:ascii="Tw Cen MT" w:eastAsia="Tw Cen MT" w:hAnsi="Tw Cen MT" w:cs="Tw Cen MT"/>
          <w:b w:val="0"/>
          <w:bCs w:val="0"/>
          <w:sz w:val="18"/>
          <w:szCs w:val="18"/>
        </w:rPr>
      </w:pPr>
      <w:r w:rsidRPr="00652B95">
        <w:rPr>
          <w:rFonts w:ascii="Tw Cen MT" w:eastAsia="Tw Cen MT" w:hAnsi="Tw Cen MT" w:cs="Tw Cen MT"/>
          <w:b w:val="0"/>
          <w:bCs w:val="0"/>
          <w:sz w:val="18"/>
          <w:szCs w:val="18"/>
        </w:rPr>
        <w:t>The study aim of is to investigate whether sarcopenia is associated with for the occurrence associations of mortality risks.</w:t>
      </w:r>
    </w:p>
    <w:p w14:paraId="37ADDEB1" w14:textId="77777777" w:rsidR="00652B95" w:rsidRPr="00652B95" w:rsidRDefault="00652B95" w:rsidP="00652B95">
      <w:pPr>
        <w:pStyle w:val="3"/>
        <w:spacing w:before="74"/>
        <w:rPr>
          <w:rFonts w:ascii="Tw Cen MT" w:eastAsia="Tw Cen MT" w:hAnsi="Tw Cen MT" w:cs="Tw Cen MT"/>
          <w:b w:val="0"/>
          <w:bCs w:val="0"/>
          <w:sz w:val="18"/>
          <w:szCs w:val="18"/>
        </w:rPr>
      </w:pPr>
      <w:r w:rsidRPr="00652B95">
        <w:rPr>
          <w:rFonts w:ascii="Tw Cen MT" w:eastAsia="Tw Cen MT" w:hAnsi="Tw Cen MT" w:cs="Tw Cen MT"/>
          <w:b w:val="0"/>
          <w:bCs w:val="0"/>
          <w:sz w:val="18"/>
          <w:szCs w:val="18"/>
        </w:rPr>
        <w:t>Methods:</w:t>
      </w:r>
    </w:p>
    <w:p w14:paraId="2444FC1A" w14:textId="77777777" w:rsidR="00652B95" w:rsidRPr="00652B95" w:rsidRDefault="00652B95" w:rsidP="00652B95">
      <w:pPr>
        <w:pStyle w:val="3"/>
        <w:spacing w:before="74"/>
        <w:rPr>
          <w:rFonts w:ascii="Tw Cen MT" w:eastAsia="Tw Cen MT" w:hAnsi="Tw Cen MT" w:cs="Tw Cen MT"/>
          <w:b w:val="0"/>
          <w:bCs w:val="0"/>
          <w:sz w:val="18"/>
          <w:szCs w:val="18"/>
        </w:rPr>
      </w:pPr>
      <w:r w:rsidRPr="00652B95">
        <w:rPr>
          <w:rFonts w:ascii="Tw Cen MT" w:eastAsia="Tw Cen MT" w:hAnsi="Tw Cen MT" w:cs="Tw Cen MT"/>
          <w:b w:val="0"/>
          <w:bCs w:val="0"/>
          <w:sz w:val="18"/>
          <w:szCs w:val="18"/>
        </w:rPr>
        <w:t>A previous study was conducted in reviewed and extracted the searched literature. The keywords searched included “sarcopenia”, “Mortality”, and “older people”, “elderly”, “geriatric”, and “senior.” The researcher searched the keywords Between January 2012 to July 2022 for articles relating to sarcopenia and mortality. The literature search steps followed conducted according to the PRISMA guideline. This study systematic literature search was conducted in CINAHL Embase, MEDLINE PubMed, and Cochrane Library and then we selected them with outcomes such as analyzed the collected the literature. Data Synthesis and Statistical Analysis using the Review Manager 5.4 was used to pool Hazard ratio (HR) for the association between sarcopenia and mortality.</w:t>
      </w:r>
    </w:p>
    <w:p w14:paraId="558F85CA" w14:textId="77777777" w:rsidR="00652B95" w:rsidRPr="00652B95" w:rsidRDefault="00652B95" w:rsidP="00652B95">
      <w:pPr>
        <w:pStyle w:val="3"/>
        <w:spacing w:before="74"/>
        <w:rPr>
          <w:rFonts w:ascii="Tw Cen MT" w:eastAsia="Tw Cen MT" w:hAnsi="Tw Cen MT" w:cs="Tw Cen MT"/>
          <w:b w:val="0"/>
          <w:bCs w:val="0"/>
          <w:sz w:val="18"/>
          <w:szCs w:val="18"/>
        </w:rPr>
      </w:pPr>
      <w:r w:rsidRPr="00652B95">
        <w:rPr>
          <w:rFonts w:ascii="Tw Cen MT" w:eastAsia="Tw Cen MT" w:hAnsi="Tw Cen MT" w:cs="Tw Cen MT"/>
          <w:b w:val="0"/>
          <w:bCs w:val="0"/>
          <w:sz w:val="18"/>
          <w:szCs w:val="18"/>
        </w:rPr>
        <w:t>Results:</w:t>
      </w:r>
    </w:p>
    <w:p w14:paraId="7E0C7F21" w14:textId="77777777" w:rsidR="00652B95" w:rsidRPr="00652B95" w:rsidRDefault="00652B95" w:rsidP="00652B95">
      <w:pPr>
        <w:pStyle w:val="3"/>
        <w:spacing w:before="74"/>
        <w:rPr>
          <w:rFonts w:ascii="Tw Cen MT" w:eastAsia="Tw Cen MT" w:hAnsi="Tw Cen MT" w:cs="Tw Cen MT"/>
          <w:b w:val="0"/>
          <w:bCs w:val="0"/>
          <w:sz w:val="18"/>
          <w:szCs w:val="18"/>
        </w:rPr>
      </w:pPr>
      <w:r w:rsidRPr="00652B95">
        <w:rPr>
          <w:rFonts w:ascii="Tw Cen MT" w:eastAsia="Tw Cen MT" w:hAnsi="Tw Cen MT" w:cs="Tw Cen MT"/>
          <w:b w:val="0"/>
          <w:bCs w:val="0"/>
          <w:sz w:val="18"/>
          <w:szCs w:val="18"/>
        </w:rPr>
        <w:t>Sarcopenia was significantly correlated with mortality. this study collected a total of 22 prospective studies and performed a systematic literature review and meta-analysis of the data. The main results showed that when comparing to robust individuals, the risk of negative health effects for elderly individuals with sarcopenia was significantly higher risk of all causes compared with non-sarcopenic subjects for mortality (HR: 8.33</w:t>
      </w:r>
      <w:r w:rsidRPr="00652B95">
        <w:rPr>
          <w:rFonts w:ascii="新細明體" w:eastAsia="新細明體" w:hAnsi="新細明體" w:cs="新細明體" w:hint="eastAsia"/>
          <w:b w:val="0"/>
          <w:bCs w:val="0"/>
          <w:sz w:val="18"/>
          <w:szCs w:val="18"/>
        </w:rPr>
        <w:t>〔</w:t>
      </w:r>
      <w:r w:rsidRPr="00652B95">
        <w:rPr>
          <w:rFonts w:ascii="Tw Cen MT" w:eastAsia="Tw Cen MT" w:hAnsi="Tw Cen MT" w:cs="Tw Cen MT"/>
          <w:b w:val="0"/>
          <w:bCs w:val="0"/>
          <w:sz w:val="18"/>
          <w:szCs w:val="18"/>
        </w:rPr>
        <w:t>95% CI: 3.28 - 21. 17</w:t>
      </w:r>
      <w:r w:rsidRPr="00652B95">
        <w:rPr>
          <w:rFonts w:ascii="新細明體" w:eastAsia="新細明體" w:hAnsi="新細明體" w:cs="新細明體" w:hint="eastAsia"/>
          <w:b w:val="0"/>
          <w:bCs w:val="0"/>
          <w:sz w:val="18"/>
          <w:szCs w:val="18"/>
        </w:rPr>
        <w:t>〕</w:t>
      </w:r>
      <w:r w:rsidRPr="00652B95">
        <w:rPr>
          <w:rFonts w:ascii="Tw Cen MT" w:eastAsia="Tw Cen MT" w:hAnsi="Tw Cen MT" w:cs="Tw Cen MT"/>
          <w:b w:val="0"/>
          <w:bCs w:val="0"/>
          <w:sz w:val="18"/>
          <w:szCs w:val="18"/>
        </w:rPr>
        <w:t>) in comparison with people without sarcopenia.</w:t>
      </w:r>
    </w:p>
    <w:p w14:paraId="0CB60EF3" w14:textId="77777777" w:rsidR="00652B95" w:rsidRPr="00652B95" w:rsidRDefault="00652B95" w:rsidP="00652B95">
      <w:pPr>
        <w:pStyle w:val="3"/>
        <w:spacing w:before="74"/>
        <w:rPr>
          <w:rFonts w:ascii="Tw Cen MT" w:eastAsia="Tw Cen MT" w:hAnsi="Tw Cen MT" w:cs="Tw Cen MT"/>
          <w:b w:val="0"/>
          <w:bCs w:val="0"/>
          <w:sz w:val="18"/>
          <w:szCs w:val="18"/>
        </w:rPr>
      </w:pPr>
      <w:r w:rsidRPr="00652B95">
        <w:rPr>
          <w:rFonts w:ascii="Tw Cen MT" w:eastAsia="Tw Cen MT" w:hAnsi="Tw Cen MT" w:cs="Tw Cen MT"/>
          <w:b w:val="0"/>
          <w:bCs w:val="0"/>
          <w:sz w:val="18"/>
          <w:szCs w:val="18"/>
        </w:rPr>
        <w:t>Conclusions.:</w:t>
      </w:r>
    </w:p>
    <w:p w14:paraId="3F682CEF" w14:textId="69BC6460" w:rsidR="00652B95" w:rsidRPr="00652B95" w:rsidRDefault="00652B95" w:rsidP="00652B95">
      <w:pPr>
        <w:pStyle w:val="3"/>
        <w:spacing w:before="74"/>
        <w:rPr>
          <w:rFonts w:ascii="Tw Cen MT" w:eastAsia="Tw Cen MT" w:hAnsi="Tw Cen MT" w:cs="Tw Cen MT"/>
          <w:b w:val="0"/>
          <w:bCs w:val="0"/>
          <w:sz w:val="18"/>
          <w:szCs w:val="18"/>
        </w:rPr>
      </w:pPr>
      <w:r w:rsidRPr="00652B95">
        <w:rPr>
          <w:rFonts w:ascii="Tw Cen MT" w:eastAsia="Tw Cen MT" w:hAnsi="Tw Cen MT" w:cs="Tw Cen MT"/>
          <w:b w:val="0"/>
          <w:bCs w:val="0"/>
          <w:sz w:val="18"/>
          <w:szCs w:val="18"/>
        </w:rPr>
        <w:t>Our results obtained Sarcopenia is associated with a significantly higher risk of mortality. from a Sarcopenia is a prevalent syndrome that is associated with premature mortality among older adults. such as physical performance physical frailty disability of negative health events, in the elderly population with sarcopenia are higher than those of the population which highlights the need for which could Early detection of these sarcopenia group, and early intervention with nutrition or exercise is important in preventive medicine in all populations.</w:t>
      </w:r>
    </w:p>
    <w:p w14:paraId="725313F2" w14:textId="7B63B92C" w:rsidR="00AE3E37" w:rsidRDefault="00914D2C">
      <w:pPr>
        <w:pStyle w:val="3"/>
        <w:spacing w:before="74"/>
      </w:pPr>
      <w:r>
        <w:rPr>
          <w:rFonts w:ascii="Times New Roman" w:hAnsi="Times New Roman" w:cs="Times New Roman"/>
          <w:noProof/>
          <w:sz w:val="24"/>
          <w:szCs w:val="24"/>
          <w:lang w:eastAsia="zh-TW"/>
        </w:rPr>
        <w:drawing>
          <wp:anchor distT="0" distB="0" distL="114300" distR="114300" simplePos="0" relativeHeight="251662336" behindDoc="1" locked="0" layoutInCell="1" allowOverlap="1" wp14:anchorId="27557A38" wp14:editId="796F9290">
            <wp:simplePos x="0" y="0"/>
            <wp:positionH relativeFrom="column">
              <wp:posOffset>387350</wp:posOffset>
            </wp:positionH>
            <wp:positionV relativeFrom="paragraph">
              <wp:posOffset>88265</wp:posOffset>
            </wp:positionV>
            <wp:extent cx="441325" cy="548005"/>
            <wp:effectExtent l="0" t="0" r="0" b="4445"/>
            <wp:wrapTight wrapText="bothSides">
              <wp:wrapPolygon edited="0">
                <wp:start x="0" y="0"/>
                <wp:lineTo x="0" y="21024"/>
                <wp:lineTo x="20512" y="21024"/>
                <wp:lineTo x="20512" y="0"/>
                <wp:lineTo x="0" y="0"/>
              </wp:wrapPolygon>
            </wp:wrapTight>
            <wp:docPr id="1" name="圖片 1" descr="蘇碩士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蘇碩士照"/>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1325" cy="54800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t>Image</w:t>
      </w:r>
    </w:p>
    <w:p w14:paraId="7831232C" w14:textId="777B15E9" w:rsidR="00AE3E37" w:rsidRDefault="0015686F">
      <w:pPr>
        <w:pStyle w:val="a3"/>
        <w:spacing w:before="2"/>
        <w:rPr>
          <w:rFonts w:ascii="Arial"/>
          <w:b/>
          <w:sz w:val="16"/>
        </w:rPr>
      </w:pPr>
      <w:r>
        <w:rPr>
          <w:rFonts w:ascii="Arial"/>
          <w:b/>
          <w:noProof/>
          <w:sz w:val="16"/>
          <w:lang w:eastAsia="zh-TW"/>
        </w:rPr>
        <w:drawing>
          <wp:inline distT="0" distB="0" distL="0" distR="0" wp14:anchorId="0F59DB09" wp14:editId="6393BCA1">
            <wp:extent cx="3510548" cy="1908387"/>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5848"/>
                    <a:stretch/>
                  </pic:blipFill>
                  <pic:spPr bwMode="auto">
                    <a:xfrm>
                      <a:off x="0" y="0"/>
                      <a:ext cx="3523669" cy="1915520"/>
                    </a:xfrm>
                    <a:prstGeom prst="rect">
                      <a:avLst/>
                    </a:prstGeom>
                    <a:noFill/>
                    <a:ln>
                      <a:noFill/>
                    </a:ln>
                    <a:extLst>
                      <a:ext uri="{53640926-AAD7-44D8-BBD7-CCE9431645EC}">
                        <a14:shadowObscured xmlns:a14="http://schemas.microsoft.com/office/drawing/2010/main"/>
                      </a:ext>
                    </a:extLst>
                  </pic:spPr>
                </pic:pic>
              </a:graphicData>
            </a:graphic>
          </wp:inline>
        </w:drawing>
      </w:r>
    </w:p>
    <w:p w14:paraId="101F3D5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AB3269B" w14:textId="77777777" w:rsidR="00110BE6" w:rsidRDefault="00110BE6" w:rsidP="005973B9">
      <w:pPr>
        <w:pStyle w:val="a5"/>
        <w:numPr>
          <w:ilvl w:val="0"/>
          <w:numId w:val="3"/>
        </w:numPr>
        <w:tabs>
          <w:tab w:val="left" w:pos="384"/>
        </w:tabs>
        <w:spacing w:line="216" w:lineRule="exact"/>
        <w:ind w:right="137" w:hanging="283"/>
        <w:rPr>
          <w:sz w:val="18"/>
        </w:rPr>
      </w:pPr>
      <w:r w:rsidRPr="00110BE6">
        <w:rPr>
          <w:sz w:val="18"/>
        </w:rPr>
        <w:t>Yu-Chen Su., Shu-Fang Chang. (2023). The Relationship Between Sarcopenia and Fracture Risk In Older Adults: A Systematic Review and Meta-Analysis. The 29th International Council of Nurses (ICN), in Montreal, Canada(post)</w:t>
      </w:r>
    </w:p>
    <w:p w14:paraId="063A9F86" w14:textId="77777777" w:rsidR="008C5CE8" w:rsidRDefault="008C5CE8" w:rsidP="005973B9">
      <w:pPr>
        <w:pStyle w:val="a5"/>
        <w:numPr>
          <w:ilvl w:val="0"/>
          <w:numId w:val="3"/>
        </w:numPr>
        <w:tabs>
          <w:tab w:val="left" w:pos="384"/>
        </w:tabs>
        <w:spacing w:line="216" w:lineRule="exact"/>
        <w:ind w:right="138" w:hanging="283"/>
        <w:rPr>
          <w:sz w:val="18"/>
        </w:rPr>
      </w:pPr>
      <w:bookmarkStart w:id="2" w:name="_Hlk130482978"/>
      <w:r w:rsidRPr="008C5CE8">
        <w:rPr>
          <w:sz w:val="18"/>
        </w:rPr>
        <w:t>Yu-Chen Su., Shu-Fang Chang. (2023). The Relationship Between S Diabetes and Depression Risk In Adults: A Systematic Review and Meta-Analysis. The 29th International Council of Nurses (ICN), in Montreal, Canada(post)</w:t>
      </w:r>
    </w:p>
    <w:bookmarkEnd w:id="2"/>
    <w:p w14:paraId="22F091F9" w14:textId="77777777" w:rsidR="008C5CE8" w:rsidRDefault="008C5CE8" w:rsidP="005973B9">
      <w:pPr>
        <w:pStyle w:val="a5"/>
        <w:numPr>
          <w:ilvl w:val="0"/>
          <w:numId w:val="3"/>
        </w:numPr>
        <w:tabs>
          <w:tab w:val="left" w:pos="384"/>
        </w:tabs>
        <w:spacing w:before="92" w:line="218" w:lineRule="exact"/>
        <w:ind w:hanging="283"/>
        <w:rPr>
          <w:sz w:val="18"/>
        </w:rPr>
      </w:pPr>
      <w:r w:rsidRPr="008C5CE8">
        <w:rPr>
          <w:sz w:val="18"/>
        </w:rPr>
        <w:t>Yu-Chen Su., Shu-Fang Chang., and Hsiao-Chi Tsai. (2022). The Relationship between Sarcopenia and Injury Events: A Systematic Review and Meta-Analysis of 98,754 Older Adults. J. Clin. Med. 11, 6474, 1–16.</w:t>
      </w:r>
    </w:p>
    <w:p w14:paraId="02AE283B" w14:textId="7B543AFC" w:rsidR="005973B9" w:rsidRDefault="00327992" w:rsidP="0059759B">
      <w:pPr>
        <w:pStyle w:val="a5"/>
        <w:numPr>
          <w:ilvl w:val="0"/>
          <w:numId w:val="3"/>
        </w:numPr>
        <w:tabs>
          <w:tab w:val="left" w:pos="384"/>
        </w:tabs>
        <w:spacing w:before="92" w:line="218" w:lineRule="exact"/>
        <w:ind w:hanging="283"/>
      </w:pPr>
      <w:r w:rsidRPr="00327992">
        <w:rPr>
          <w:sz w:val="18"/>
        </w:rPr>
        <w:t>Yu-Chen Su</w:t>
      </w:r>
      <w:r w:rsidR="005973B9">
        <w:rPr>
          <w:sz w:val="18"/>
        </w:rPr>
        <w:t xml:space="preserve"> (20</w:t>
      </w:r>
      <w:r w:rsidR="00032EBC">
        <w:rPr>
          <w:sz w:val="18"/>
        </w:rPr>
        <w:t>21</w:t>
      </w:r>
      <w:r w:rsidR="005973B9">
        <w:rPr>
          <w:sz w:val="18"/>
        </w:rPr>
        <w:t xml:space="preserve">) </w:t>
      </w:r>
      <w:r w:rsidR="0059759B" w:rsidRPr="0059759B">
        <w:rPr>
          <w:sz w:val="18"/>
        </w:rPr>
        <w:t>Exploring the Relationship between Falls in Older Adults and Sarcopenia: A Systematic Literature Review.</w:t>
      </w:r>
      <w:r w:rsidR="0059759B" w:rsidRPr="0059759B">
        <w:t xml:space="preserve"> </w:t>
      </w:r>
      <w:r w:rsidR="0059759B" w:rsidRPr="0059759B">
        <w:rPr>
          <w:sz w:val="18"/>
        </w:rPr>
        <w:t xml:space="preserve">Healthcare Technology and </w:t>
      </w:r>
      <w:proofErr w:type="spellStart"/>
      <w:r w:rsidR="0059759B" w:rsidRPr="0059759B">
        <w:rPr>
          <w:sz w:val="18"/>
        </w:rPr>
        <w:t>Management</w:t>
      </w:r>
      <w:r w:rsidR="0059759B">
        <w:rPr>
          <w:sz w:val="18"/>
        </w:rPr>
        <w:t>.</w:t>
      </w:r>
      <w:r w:rsidR="0059759B" w:rsidRPr="0059759B">
        <w:rPr>
          <w:sz w:val="18"/>
        </w:rPr>
        <w:t>Taipei</w:t>
      </w:r>
      <w:proofErr w:type="spellEnd"/>
      <w:r w:rsidR="0059759B" w:rsidRPr="0059759B">
        <w:rPr>
          <w:sz w:val="18"/>
        </w:rPr>
        <w:t>, Taiwan (post)</w:t>
      </w:r>
      <w:r w:rsidR="005973B9" w:rsidRPr="005973B9">
        <w:t>.</w:t>
      </w:r>
    </w:p>
    <w:p w14:paraId="6E4A21D1" w14:textId="4FDAB829" w:rsidR="005973B9" w:rsidRDefault="005973B9" w:rsidP="005973B9">
      <w:pPr>
        <w:pStyle w:val="a3"/>
        <w:spacing w:before="85" w:line="216" w:lineRule="exact"/>
        <w:ind w:left="383" w:right="138" w:hanging="284"/>
        <w:jc w:val="both"/>
        <w:rPr>
          <w:rFonts w:ascii="Calibri" w:hAnsi="Calibri"/>
        </w:rPr>
      </w:pPr>
      <w:r>
        <w:rPr>
          <w:rFonts w:ascii="Calibri" w:hAnsi="Calibri"/>
        </w:rPr>
        <w:t>5.</w:t>
      </w:r>
      <w:r w:rsidR="008C5CE8" w:rsidRPr="008C5CE8">
        <w:rPr>
          <w:rFonts w:ascii="Calibri" w:hAnsi="Calibri"/>
        </w:rPr>
        <w:tab/>
        <w:t>Yu-Chen Su.,(202</w:t>
      </w:r>
      <w:r w:rsidR="008C5CE8">
        <w:rPr>
          <w:rFonts w:ascii="Calibri" w:hAnsi="Calibri"/>
        </w:rPr>
        <w:t>0</w:t>
      </w:r>
      <w:r w:rsidR="008C5CE8" w:rsidRPr="008C5CE8">
        <w:rPr>
          <w:rFonts w:ascii="Calibri" w:hAnsi="Calibri"/>
        </w:rPr>
        <w:t xml:space="preserve">). Relationship Between </w:t>
      </w:r>
      <w:proofErr w:type="spellStart"/>
      <w:r w:rsidR="000178EB">
        <w:rPr>
          <w:rFonts w:ascii="Calibri" w:hAnsi="Calibri"/>
        </w:rPr>
        <w:t>Resillence</w:t>
      </w:r>
      <w:proofErr w:type="spellEnd"/>
      <w:r w:rsidR="000178EB">
        <w:rPr>
          <w:rFonts w:ascii="Calibri" w:hAnsi="Calibri"/>
        </w:rPr>
        <w:t xml:space="preserve"> and Depression in Patients With Stroke in Taiwan</w:t>
      </w:r>
      <w:r w:rsidR="008C5CE8" w:rsidRPr="008C5CE8">
        <w:rPr>
          <w:rFonts w:ascii="Calibri" w:hAnsi="Calibri"/>
        </w:rPr>
        <w:t>. The 2</w:t>
      </w:r>
      <w:r w:rsidR="008C5CE8">
        <w:rPr>
          <w:rFonts w:ascii="Calibri" w:hAnsi="Calibri"/>
        </w:rPr>
        <w:t>6</w:t>
      </w:r>
      <w:r w:rsidR="008C5CE8" w:rsidRPr="008C5CE8">
        <w:rPr>
          <w:rFonts w:ascii="Calibri" w:hAnsi="Calibri"/>
        </w:rPr>
        <w:t xml:space="preserve">th International Council of Nurses (ICN), </w:t>
      </w:r>
      <w:r w:rsidR="000178EB">
        <w:rPr>
          <w:rFonts w:ascii="Calibri" w:hAnsi="Calibri"/>
        </w:rPr>
        <w:t>Taipei</w:t>
      </w:r>
      <w:r w:rsidR="008C5CE8" w:rsidRPr="008C5CE8">
        <w:rPr>
          <w:rFonts w:ascii="Calibri" w:hAnsi="Calibri"/>
        </w:rPr>
        <w:t xml:space="preserve">, </w:t>
      </w:r>
      <w:r w:rsidR="000178EB" w:rsidRPr="000178EB">
        <w:rPr>
          <w:rFonts w:ascii="Calibri" w:hAnsi="Calibri"/>
        </w:rPr>
        <w:t xml:space="preserve">Taiwan </w:t>
      </w:r>
      <w:r w:rsidR="008C5CE8" w:rsidRPr="008C5CE8">
        <w:rPr>
          <w:rFonts w:ascii="Calibri" w:hAnsi="Calibri"/>
        </w:rPr>
        <w:t>(post).</w:t>
      </w:r>
    </w:p>
    <w:p w14:paraId="2D004C96" w14:textId="2D7CBA87" w:rsidR="00AE3E37" w:rsidRPr="008756E6" w:rsidRDefault="00BF5547" w:rsidP="008756E6">
      <w:pPr>
        <w:tabs>
          <w:tab w:val="left" w:pos="384"/>
        </w:tabs>
        <w:ind w:right="117"/>
      </w:pPr>
      <w:r>
        <w:rPr>
          <w:rFonts w:ascii="Times New Roman" w:hAnsi="Times New Roman" w:cs="Times New Roman"/>
          <w:noProof/>
          <w:sz w:val="24"/>
          <w:szCs w:val="24"/>
          <w:lang w:eastAsia="zh-TW"/>
        </w:rPr>
        <mc:AlternateContent>
          <mc:Choice Requires="wps">
            <w:drawing>
              <wp:anchor distT="0" distB="0" distL="114300" distR="114300" simplePos="0" relativeHeight="251660288" behindDoc="0" locked="0" layoutInCell="1" allowOverlap="1" wp14:anchorId="5F52B77B" wp14:editId="4D77C68A">
                <wp:simplePos x="0" y="0"/>
                <wp:positionH relativeFrom="column">
                  <wp:posOffset>2160905</wp:posOffset>
                </wp:positionH>
                <wp:positionV relativeFrom="paragraph">
                  <wp:posOffset>78740</wp:posOffset>
                </wp:positionV>
                <wp:extent cx="1252855" cy="590550"/>
                <wp:effectExtent l="19050" t="19050" r="23495"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855" cy="5905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F0373B" w14:textId="465A9F0D" w:rsidR="00BF5547" w:rsidRDefault="00BF5547">
                            <w:r w:rsidRPr="00BF5547">
                              <w:rPr>
                                <w:rFonts w:ascii="Segoe UI" w:hAnsi="Segoe UI" w:cs="Segoe UI"/>
                                <w:color w:val="374151"/>
                                <w:sz w:val="16"/>
                                <w:szCs w:val="16"/>
                                <w:shd w:val="clear" w:color="auto" w:fill="F7F7F8"/>
                              </w:rPr>
                              <w:t>National Taipei University of Nursing and Health</w:t>
                            </w:r>
                            <w:r w:rsidR="00136011">
                              <w:rPr>
                                <w:rFonts w:ascii="Segoe UI" w:hAnsi="Segoe UI" w:cs="Segoe UI"/>
                                <w:color w:val="374151"/>
                                <w:sz w:val="16"/>
                                <w:szCs w:val="16"/>
                                <w:shd w:val="clear" w:color="auto" w:fill="F7F7F8"/>
                              </w:rPr>
                              <w:t xml:space="preserve"> sciences</w:t>
                            </w:r>
                            <w:r w:rsidRPr="00BF5547">
                              <w:rPr>
                                <w:rFonts w:ascii="Segoe UI" w:hAnsi="Segoe UI" w:cs="Segoe UI"/>
                                <w:color w:val="374151"/>
                                <w:sz w:val="16"/>
                                <w:szCs w:val="16"/>
                                <w:shd w:val="clear" w:color="auto" w:fill="F7F7F8"/>
                              </w:rPr>
                              <w:t xml:space="preserve"> </w:t>
                            </w:r>
                            <w:proofErr w:type="spellStart"/>
                            <w:r>
                              <w:rPr>
                                <w:rFonts w:ascii="Segoe UI" w:hAnsi="Segoe UI" w:cs="Segoe UI"/>
                                <w:color w:val="374151"/>
                                <w:shd w:val="clear" w:color="auto" w:fill="F7F7F8"/>
                              </w:rPr>
                              <w:t>Sciences</w:t>
                            </w:r>
                            <w:proofErr w:type="spellEnd"/>
                            <w:r>
                              <w:rPr>
                                <w:rFonts w:ascii="Segoe UI" w:hAnsi="Segoe UI" w:cs="Segoe UI"/>
                                <w:color w:val="374151"/>
                                <w:shd w:val="clear" w:color="auto" w:fill="F7F7F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52B77B" id="Rounded Rectangle 2" o:spid="_x0000_s1026" style="position:absolute;margin-left:170.15pt;margin-top:6.2pt;width:98.6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" strokecolor="#9bbb59" strokeweight="2.5pt">
                <v:shadow color="#868686"/>
                <v:textbox>
                  <w:txbxContent>
                    <w:p w14:paraId="13F0373B" w14:textId="465A9F0D" w:rsidR="00BF5547" w:rsidRDefault="00BF5547">
                      <w:r w:rsidRPr="00BF5547">
                        <w:rPr>
                          <w:rFonts w:ascii="Segoe UI" w:hAnsi="Segoe UI" w:cs="Segoe UI"/>
                          <w:color w:val="374151"/>
                          <w:sz w:val="16"/>
                          <w:szCs w:val="16"/>
                          <w:shd w:val="clear" w:color="auto" w:fill="F7F7F8"/>
                        </w:rPr>
                        <w:t>National Taipei University of Nursing and Health</w:t>
                      </w:r>
                      <w:r w:rsidR="00136011">
                        <w:rPr>
                          <w:rFonts w:ascii="Segoe UI" w:hAnsi="Segoe UI" w:cs="Segoe UI"/>
                          <w:color w:val="374151"/>
                          <w:sz w:val="16"/>
                          <w:szCs w:val="16"/>
                          <w:shd w:val="clear" w:color="auto" w:fill="F7F7F8"/>
                        </w:rPr>
                        <w:t xml:space="preserve"> sciences</w:t>
                      </w:r>
                      <w:r w:rsidRPr="00BF5547">
                        <w:rPr>
                          <w:rFonts w:ascii="Segoe UI" w:hAnsi="Segoe UI" w:cs="Segoe UI"/>
                          <w:color w:val="374151"/>
                          <w:sz w:val="16"/>
                          <w:szCs w:val="16"/>
                          <w:shd w:val="clear" w:color="auto" w:fill="F7F7F8"/>
                        </w:rPr>
                        <w:t xml:space="preserve"> </w:t>
                      </w:r>
                      <w:proofErr w:type="spellStart"/>
                      <w:r>
                        <w:rPr>
                          <w:rFonts w:ascii="Segoe UI" w:hAnsi="Segoe UI" w:cs="Segoe UI"/>
                          <w:color w:val="374151"/>
                          <w:shd w:val="clear" w:color="auto" w:fill="F7F7F8"/>
                        </w:rPr>
                        <w:t>Sciences</w:t>
                      </w:r>
                      <w:proofErr w:type="spellEnd"/>
                      <w:r>
                        <w:rPr>
                          <w:rFonts w:ascii="Segoe UI" w:hAnsi="Segoe UI" w:cs="Segoe UI"/>
                          <w:color w:val="374151"/>
                          <w:shd w:val="clear" w:color="auto" w:fill="F7F7F8"/>
                        </w:rPr>
                        <w:t>.</w:t>
                      </w:r>
                    </w:p>
                  </w:txbxContent>
                </v:textbox>
              </v:roundrect>
            </w:pict>
          </mc:Fallback>
        </mc:AlternateContent>
      </w:r>
    </w:p>
    <w:p w14:paraId="7F86D20E" w14:textId="6261DF18"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23572CC" w14:textId="0AF07DBB" w:rsidR="00AE3E37" w:rsidRDefault="00AE3E37">
      <w:pPr>
        <w:pStyle w:val="a3"/>
        <w:rPr>
          <w:rFonts w:ascii="Calibri"/>
          <w:sz w:val="20"/>
        </w:rPr>
      </w:pPr>
    </w:p>
    <w:p w14:paraId="0781E4F0" w14:textId="77777777"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005F1833" wp14:editId="5B30199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1B2A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C4615A7" w14:textId="0C9E67DD" w:rsidR="00BF5547" w:rsidRPr="00BF5547" w:rsidRDefault="008756E6" w:rsidP="00BF5547">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7228CFB7" w14:textId="00DBA953" w:rsidR="00BF5547" w:rsidRDefault="00BF5547" w:rsidP="009F18CF">
      <w:pPr>
        <w:rPr>
          <w:rFonts w:ascii="Times New Roman" w:hAnsi="Times New Roman" w:cs="Times New Roman"/>
          <w:sz w:val="18"/>
          <w:szCs w:val="18"/>
        </w:rPr>
      </w:pPr>
      <w:bookmarkStart w:id="3" w:name="_Hlk140660577"/>
      <w:r w:rsidRPr="00BF5547">
        <w:rPr>
          <w:rFonts w:ascii="Times New Roman" w:hAnsi="Times New Roman" w:cs="Times New Roman"/>
          <w:sz w:val="18"/>
          <w:szCs w:val="18"/>
        </w:rPr>
        <w:t>Yu-Chen Su, a nurse with years of experience in clinical care, has a deep understanding of the impact of aging on physical health. Her focus is on the health and quality of life of older adults, and she hopes to improve their physical health and quality of life through research results. Research on aging may include studying the reasons for changes in the physical function of older adults, researching methods to prevent and treat age-related diseases, and studying how to improve the quality of life of older adults. These research results will have a positive impact on the health and well- being of older adults, and provide more scientific basis for nursing practice and clinical decision-making.</w:t>
      </w:r>
    </w:p>
    <w:bookmarkEnd w:id="3"/>
    <w:p w14:paraId="2BB63A04" w14:textId="08DC7C3B" w:rsidR="00BF5547" w:rsidRDefault="00BF5547" w:rsidP="009F18CF">
      <w:pPr>
        <w:rPr>
          <w:rFonts w:ascii="Times New Roman" w:hAnsi="Times New Roman" w:cs="Times New Roman"/>
          <w:sz w:val="18"/>
          <w:szCs w:val="18"/>
        </w:rPr>
      </w:pPr>
    </w:p>
    <w:p w14:paraId="0D968F92" w14:textId="250C8F35" w:rsidR="00BF5547" w:rsidRDefault="00BF5547" w:rsidP="009F18CF">
      <w:pPr>
        <w:rPr>
          <w:rFonts w:ascii="Times New Roman" w:hAnsi="Times New Roman" w:cs="Times New Roman"/>
          <w:sz w:val="18"/>
          <w:szCs w:val="18"/>
        </w:rPr>
      </w:pPr>
    </w:p>
    <w:p w14:paraId="6DDEA6A3" w14:textId="54483FB0" w:rsidR="00BF5547" w:rsidRDefault="00BF5547" w:rsidP="009F18CF">
      <w:pPr>
        <w:rPr>
          <w:rFonts w:ascii="Times New Roman" w:hAnsi="Times New Roman" w:cs="Times New Roman"/>
          <w:sz w:val="18"/>
          <w:szCs w:val="18"/>
        </w:rPr>
      </w:pPr>
    </w:p>
    <w:p w14:paraId="72C013B5" w14:textId="4DC0FF9D" w:rsidR="00BF5547" w:rsidRDefault="00BF5547" w:rsidP="009F18CF">
      <w:pPr>
        <w:rPr>
          <w:rFonts w:ascii="Times New Roman" w:hAnsi="Times New Roman" w:cs="Times New Roman"/>
          <w:sz w:val="18"/>
          <w:szCs w:val="18"/>
        </w:rPr>
      </w:pPr>
    </w:p>
    <w:p w14:paraId="001B036E" w14:textId="77777777" w:rsidR="00BF5547" w:rsidRPr="009F18CF" w:rsidRDefault="00BF5547" w:rsidP="009F18CF">
      <w:pPr>
        <w:rPr>
          <w:rFonts w:ascii="Times New Roman" w:hAnsi="Times New Roman" w:cs="Times New Roman"/>
          <w:sz w:val="18"/>
          <w:szCs w:val="18"/>
        </w:rPr>
      </w:pPr>
    </w:p>
    <w:p w14:paraId="280A53CB" w14:textId="4D375B9C" w:rsidR="00AE3E37" w:rsidRDefault="00A9710C">
      <w:pPr>
        <w:spacing w:before="62"/>
        <w:ind w:left="4217" w:right="4235"/>
        <w:jc w:val="center"/>
        <w:rPr>
          <w:rFonts w:ascii="Arial"/>
          <w:sz w:val="14"/>
        </w:rPr>
      </w:pPr>
      <w:r>
        <w:rPr>
          <w:rFonts w:ascii="Arial"/>
          <w:sz w:val="14"/>
        </w:rPr>
        <w:t xml:space="preserve">Email: </w:t>
      </w:r>
      <w:hyperlink r:id="rId10" w:history="1">
        <w:r w:rsidR="005B49EE" w:rsidRPr="004137E8">
          <w:rPr>
            <w:rStyle w:val="ac"/>
            <w:rFonts w:ascii="Arial"/>
            <w:sz w:val="14"/>
          </w:rPr>
          <w:t>13448.s.hr@gmail.com</w:t>
        </w:r>
      </w:hyperlink>
    </w:p>
    <w:p w14:paraId="2F3D5116" w14:textId="77777777"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62A71CE2" wp14:editId="400C02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B54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E5C97A0" w14:textId="77777777" w:rsidR="00AE3E37" w:rsidRDefault="00AE3E37">
      <w:pPr>
        <w:pStyle w:val="a3"/>
        <w:rPr>
          <w:rFonts w:ascii="Arial"/>
          <w:sz w:val="20"/>
        </w:rPr>
      </w:pPr>
    </w:p>
    <w:p w14:paraId="2131BEC7" w14:textId="77777777" w:rsidR="00AE3E37" w:rsidRDefault="00AE3E37">
      <w:pPr>
        <w:pStyle w:val="a3"/>
        <w:rPr>
          <w:rFonts w:ascii="Arial"/>
          <w:sz w:val="20"/>
        </w:rPr>
      </w:pPr>
    </w:p>
    <w:p w14:paraId="0C70901E" w14:textId="0830BE71" w:rsidR="00AE3E37" w:rsidRDefault="00AE3E37">
      <w:pPr>
        <w:pStyle w:val="a3"/>
        <w:spacing w:before="7"/>
        <w:rPr>
          <w:rFonts w:ascii="Arial"/>
          <w:sz w:val="29"/>
        </w:rPr>
      </w:pPr>
    </w:p>
    <w:p w14:paraId="55558EBD" w14:textId="77777777" w:rsidR="00AE3E37" w:rsidRDefault="00A9710C" w:rsidP="000534A1">
      <w:pPr>
        <w:spacing w:before="39"/>
        <w:ind w:left="100"/>
        <w:rPr>
          <w:rFonts w:ascii="Minion Pro"/>
          <w:b/>
          <w:sz w:val="20"/>
        </w:rPr>
      </w:pPr>
      <w:r w:rsidRPr="00B21A57">
        <w:rPr>
          <w:rFonts w:ascii="Minion Pro"/>
          <w:b/>
          <w:sz w:val="20"/>
        </w:rPr>
        <w:t>Notes/Comments:</w:t>
      </w:r>
    </w:p>
    <w:p w14:paraId="303B0A36" w14:textId="77777777" w:rsidR="00EA7D51" w:rsidRDefault="00EA7D51" w:rsidP="000534A1">
      <w:pPr>
        <w:spacing w:before="39"/>
        <w:ind w:left="100"/>
        <w:rPr>
          <w:rFonts w:ascii="Minion Pro"/>
          <w:b/>
          <w:sz w:val="20"/>
        </w:rPr>
      </w:pPr>
    </w:p>
    <w:p w14:paraId="6F66861E" w14:textId="77777777" w:rsidR="001B4E32"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
    <w:p w14:paraId="367D933E" w14:textId="77777777" w:rsidR="001B4E32" w:rsidRDefault="001B4E32" w:rsidP="00EA7D51">
      <w:pPr>
        <w:autoSpaceDE w:val="0"/>
        <w:autoSpaceDN w:val="0"/>
        <w:adjustRightInd w:val="0"/>
        <w:rPr>
          <w:sz w:val="20"/>
          <w:szCs w:val="20"/>
          <w:lang w:val="en-NZ"/>
        </w:rPr>
      </w:pPr>
      <w:r w:rsidRPr="001B4E32">
        <w:rPr>
          <w:b/>
          <w:bCs/>
          <w:sz w:val="20"/>
          <w:szCs w:val="20"/>
          <w:lang w:val="en-NZ"/>
        </w:rPr>
        <w:t>Yu-Chen Su</w:t>
      </w:r>
      <w:r w:rsidR="00EA7D51" w:rsidRPr="001B4E32">
        <w:rPr>
          <w:b/>
          <w:bCs/>
          <w:sz w:val="20"/>
          <w:szCs w:val="20"/>
          <w:lang w:val="en-NZ"/>
        </w:rPr>
        <w:br/>
      </w:r>
      <w:r w:rsidR="00EA7D51" w:rsidRPr="00F35A62">
        <w:rPr>
          <w:sz w:val="20"/>
          <w:szCs w:val="20"/>
          <w:lang w:val="en-NZ"/>
        </w:rPr>
        <w:t>Contact number:</w:t>
      </w:r>
    </w:p>
    <w:p w14:paraId="71BD8209" w14:textId="77777777" w:rsidR="000461A5" w:rsidRDefault="000461A5" w:rsidP="00EA7D51">
      <w:pPr>
        <w:autoSpaceDE w:val="0"/>
        <w:autoSpaceDN w:val="0"/>
        <w:adjustRightInd w:val="0"/>
        <w:rPr>
          <w:sz w:val="20"/>
          <w:szCs w:val="20"/>
          <w:lang w:val="en-NZ"/>
        </w:rPr>
      </w:pPr>
      <w:r w:rsidRPr="000461A5">
        <w:rPr>
          <w:b/>
          <w:bCs/>
          <w:sz w:val="20"/>
          <w:szCs w:val="20"/>
          <w:lang w:val="en-NZ"/>
        </w:rPr>
        <w:t>+886-2-89663584</w:t>
      </w:r>
      <w:r w:rsidR="00EA7D51" w:rsidRPr="000461A5">
        <w:rPr>
          <w:b/>
          <w:bCs/>
          <w:sz w:val="20"/>
          <w:szCs w:val="20"/>
          <w:lang w:val="en-NZ"/>
        </w:rPr>
        <w:br/>
      </w:r>
      <w:r w:rsidR="00EA7D51" w:rsidRPr="00F35A62">
        <w:rPr>
          <w:sz w:val="20"/>
          <w:szCs w:val="20"/>
          <w:lang w:val="en-NZ"/>
        </w:rPr>
        <w:t>Twitter account:</w:t>
      </w:r>
    </w:p>
    <w:p w14:paraId="77768743" w14:textId="77777777" w:rsidR="000461A5" w:rsidRPr="000461A5" w:rsidRDefault="000461A5" w:rsidP="00EA7D51">
      <w:pPr>
        <w:autoSpaceDE w:val="0"/>
        <w:autoSpaceDN w:val="0"/>
        <w:adjustRightInd w:val="0"/>
        <w:rPr>
          <w:b/>
          <w:bCs/>
          <w:sz w:val="20"/>
          <w:szCs w:val="20"/>
          <w:lang w:val="en-NZ"/>
        </w:rPr>
      </w:pPr>
      <w:r w:rsidRPr="000461A5">
        <w:rPr>
          <w:b/>
          <w:bCs/>
          <w:sz w:val="20"/>
          <w:szCs w:val="20"/>
          <w:lang w:val="en-NZ"/>
        </w:rPr>
        <w:t>NO</w:t>
      </w:r>
    </w:p>
    <w:p w14:paraId="640378EE" w14:textId="66F8F25B" w:rsidR="00EA7D51" w:rsidRDefault="00EA7D51" w:rsidP="00EA7D51">
      <w:pPr>
        <w:autoSpaceDE w:val="0"/>
        <w:autoSpaceDN w:val="0"/>
        <w:adjustRightInd w:val="0"/>
        <w:rPr>
          <w:sz w:val="20"/>
          <w:szCs w:val="20"/>
          <w:lang w:val="en-NZ"/>
        </w:rPr>
      </w:pPr>
      <w:r w:rsidRPr="00F35A62">
        <w:rPr>
          <w:sz w:val="20"/>
          <w:szCs w:val="20"/>
          <w:lang w:val="en-NZ"/>
        </w:rPr>
        <w:t>Linked In account:</w:t>
      </w:r>
    </w:p>
    <w:p w14:paraId="53DA087E" w14:textId="70D5AD60" w:rsidR="001B4E32" w:rsidRPr="00F35A62" w:rsidRDefault="001B4E32" w:rsidP="00EA7D51">
      <w:pPr>
        <w:autoSpaceDE w:val="0"/>
        <w:autoSpaceDN w:val="0"/>
        <w:adjustRightInd w:val="0"/>
        <w:rPr>
          <w:b/>
          <w:sz w:val="20"/>
          <w:szCs w:val="20"/>
          <w:lang w:val="en-NZ"/>
        </w:rPr>
      </w:pPr>
      <w:r w:rsidRPr="001B4E32">
        <w:rPr>
          <w:b/>
          <w:sz w:val="20"/>
          <w:szCs w:val="20"/>
          <w:lang w:val="en-NZ"/>
        </w:rPr>
        <w:t>Email: 13448.s.hr@gmail.com</w:t>
      </w:r>
    </w:p>
    <w:p w14:paraId="506D4771" w14:textId="275F3AD3" w:rsidR="00EA7D51" w:rsidRDefault="00EA7D51" w:rsidP="001B4E32">
      <w:pPr>
        <w:autoSpaceDE w:val="0"/>
        <w:autoSpaceDN w:val="0"/>
        <w:adjustRightInd w:val="0"/>
        <w:rPr>
          <w:rFonts w:ascii="Minion Pro"/>
          <w:b/>
          <w:sz w:val="20"/>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r w:rsidR="001B4E32" w:rsidRPr="001B4E32">
        <w:rPr>
          <w:rFonts w:ascii="Minion Pro"/>
          <w:b/>
          <w:sz w:val="20"/>
        </w:rPr>
        <w:t>Oral presentation</w:t>
      </w:r>
    </w:p>
    <w:p w14:paraId="0B607C69" w14:textId="0F917C26" w:rsidR="00BF5547" w:rsidRDefault="00BF5547" w:rsidP="001B4E32">
      <w:pPr>
        <w:autoSpaceDE w:val="0"/>
        <w:autoSpaceDN w:val="0"/>
        <w:adjustRightInd w:val="0"/>
        <w:rPr>
          <w:rFonts w:ascii="Minion Pro"/>
          <w:b/>
          <w:sz w:val="20"/>
        </w:rPr>
      </w:pPr>
    </w:p>
    <w:p w14:paraId="5B547387" w14:textId="51E0E4F3" w:rsidR="00BF5547" w:rsidRDefault="00BF5547" w:rsidP="001B4E32">
      <w:pPr>
        <w:autoSpaceDE w:val="0"/>
        <w:autoSpaceDN w:val="0"/>
        <w:adjustRightInd w:val="0"/>
        <w:rPr>
          <w:rFonts w:ascii="Minion Pro"/>
          <w:b/>
          <w:sz w:val="20"/>
        </w:rPr>
      </w:pPr>
    </w:p>
    <w:p w14:paraId="3BBC0F20" w14:textId="389D1817" w:rsidR="00BF5547" w:rsidRDefault="00BF5547" w:rsidP="001B4E32">
      <w:pPr>
        <w:autoSpaceDE w:val="0"/>
        <w:autoSpaceDN w:val="0"/>
        <w:adjustRightInd w:val="0"/>
        <w:rPr>
          <w:rFonts w:ascii="Minion Pro"/>
          <w:b/>
          <w:sz w:val="20"/>
        </w:rPr>
      </w:pPr>
    </w:p>
    <w:p w14:paraId="7DB1FF8C" w14:textId="30A58BDB" w:rsidR="00BF5547" w:rsidRDefault="00BF5547" w:rsidP="001B4E32">
      <w:pPr>
        <w:autoSpaceDE w:val="0"/>
        <w:autoSpaceDN w:val="0"/>
        <w:adjustRightInd w:val="0"/>
        <w:rPr>
          <w:rFonts w:ascii="Minion Pro"/>
          <w:b/>
          <w:sz w:val="20"/>
        </w:rPr>
      </w:pPr>
    </w:p>
    <w:p w14:paraId="59F31CE9" w14:textId="5EA8F401" w:rsidR="00BF5547" w:rsidRDefault="00BF5547" w:rsidP="001B4E32">
      <w:pPr>
        <w:autoSpaceDE w:val="0"/>
        <w:autoSpaceDN w:val="0"/>
        <w:adjustRightInd w:val="0"/>
        <w:rPr>
          <w:rFonts w:ascii="Minion Pro"/>
          <w:b/>
          <w:sz w:val="20"/>
        </w:rPr>
      </w:pPr>
    </w:p>
    <w:p w14:paraId="12A5B0A5" w14:textId="79765B17" w:rsidR="00BF5547" w:rsidRDefault="00BF5547" w:rsidP="001B4E32">
      <w:pPr>
        <w:autoSpaceDE w:val="0"/>
        <w:autoSpaceDN w:val="0"/>
        <w:adjustRightInd w:val="0"/>
        <w:rPr>
          <w:rFonts w:ascii="Minion Pro"/>
          <w:b/>
          <w:sz w:val="20"/>
        </w:rPr>
      </w:pPr>
    </w:p>
    <w:p w14:paraId="4C91878D" w14:textId="060A125B" w:rsidR="00BF5547" w:rsidRDefault="00BF5547" w:rsidP="001B4E32">
      <w:pPr>
        <w:autoSpaceDE w:val="0"/>
        <w:autoSpaceDN w:val="0"/>
        <w:adjustRightInd w:val="0"/>
        <w:rPr>
          <w:rFonts w:ascii="Minion Pro"/>
          <w:b/>
          <w:sz w:val="20"/>
        </w:rPr>
      </w:pPr>
    </w:p>
    <w:p w14:paraId="4B6ED046" w14:textId="7538F581" w:rsidR="00BF5547" w:rsidRDefault="00BF5547" w:rsidP="001B4E32">
      <w:pPr>
        <w:autoSpaceDE w:val="0"/>
        <w:autoSpaceDN w:val="0"/>
        <w:adjustRightInd w:val="0"/>
        <w:rPr>
          <w:rFonts w:ascii="Minion Pro"/>
          <w:b/>
          <w:sz w:val="20"/>
        </w:rPr>
      </w:pPr>
    </w:p>
    <w:p w14:paraId="252F3B2B" w14:textId="1FFDAA47" w:rsidR="00BF5547" w:rsidRDefault="00BF5547" w:rsidP="001B4E32">
      <w:pPr>
        <w:autoSpaceDE w:val="0"/>
        <w:autoSpaceDN w:val="0"/>
        <w:adjustRightInd w:val="0"/>
        <w:rPr>
          <w:rFonts w:ascii="Minion Pro"/>
          <w:b/>
          <w:sz w:val="20"/>
        </w:rPr>
      </w:pPr>
    </w:p>
    <w:p w14:paraId="617A2E79" w14:textId="2755B924" w:rsidR="00BF5547" w:rsidRDefault="00BF5547" w:rsidP="001B4E32">
      <w:pPr>
        <w:autoSpaceDE w:val="0"/>
        <w:autoSpaceDN w:val="0"/>
        <w:adjustRightInd w:val="0"/>
        <w:rPr>
          <w:rFonts w:ascii="Minion Pro"/>
          <w:b/>
          <w:sz w:val="20"/>
        </w:rPr>
      </w:pPr>
    </w:p>
    <w:p w14:paraId="1EAC641C" w14:textId="2176DBD9" w:rsidR="00BF5547" w:rsidRPr="000534A1" w:rsidRDefault="00BF5547" w:rsidP="001B4E32">
      <w:pPr>
        <w:autoSpaceDE w:val="0"/>
        <w:autoSpaceDN w:val="0"/>
        <w:adjustRightInd w:val="0"/>
        <w:rPr>
          <w:rFonts w:ascii="Minion Pro"/>
          <w:b/>
          <w:sz w:val="20"/>
        </w:rPr>
        <w:sectPr w:rsidR="00BF5547" w:rsidRPr="000534A1" w:rsidSect="00066740">
          <w:type w:val="continuous"/>
          <w:pgSz w:w="11910" w:h="16840"/>
          <w:pgMar w:top="992" w:right="601" w:bottom="839" w:left="618" w:header="720" w:footer="720" w:gutter="0"/>
          <w:cols w:space="720"/>
        </w:sectPr>
      </w:pPr>
    </w:p>
    <w:p w14:paraId="0B5A9D2F" w14:textId="77777777" w:rsidR="00AE3E37" w:rsidRPr="000104B0" w:rsidRDefault="00AE3E37" w:rsidP="00BF5547">
      <w:pPr>
        <w:jc w:val="both"/>
        <w:rPr>
          <w:rFonts w:ascii="Minion Pro"/>
          <w:sz w:val="26"/>
          <w:lang w:eastAsia="zh-TW"/>
        </w:rPr>
      </w:pPr>
    </w:p>
    <w:sectPr w:rsidR="00AE3E37" w:rsidRPr="000104B0" w:rsidSect="000667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6775E" w14:textId="77777777" w:rsidR="009F67A6" w:rsidRDefault="009F67A6">
      <w:r>
        <w:separator/>
      </w:r>
    </w:p>
  </w:endnote>
  <w:endnote w:type="continuationSeparator" w:id="0">
    <w:p w14:paraId="3E42F445" w14:textId="77777777" w:rsidR="009F67A6" w:rsidRDefault="009F6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1FCBB" w14:textId="77777777"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0C9FAF6F" wp14:editId="6519F16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3601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4A937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FAF6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3C3601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4A937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2F4F6346" wp14:editId="13A0404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6277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24DF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F634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E06277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24DF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05CDF6ED" wp14:editId="4986987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BBC5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A64DF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DF6ED"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1EBBC5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A64DF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F90CE" w14:textId="77777777" w:rsidR="009F67A6" w:rsidRDefault="009F67A6">
      <w:r>
        <w:separator/>
      </w:r>
    </w:p>
  </w:footnote>
  <w:footnote w:type="continuationSeparator" w:id="0">
    <w:p w14:paraId="0283C89C" w14:textId="77777777" w:rsidR="009F67A6" w:rsidRDefault="009F67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68813161">
    <w:abstractNumId w:val="0"/>
  </w:num>
  <w:num w:numId="2" w16cid:durableId="1959598800">
    <w:abstractNumId w:val="1"/>
  </w:num>
  <w:num w:numId="3" w16cid:durableId="46211411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Y0Mbe0NLQ0MjIBYiUdpeDU4uLM/DyQAuNaAOIFkeIsAAAA"/>
  </w:docVars>
  <w:rsids>
    <w:rsidRoot w:val="00AE3E37"/>
    <w:rsid w:val="0000411F"/>
    <w:rsid w:val="000104B0"/>
    <w:rsid w:val="000178EB"/>
    <w:rsid w:val="00032EBC"/>
    <w:rsid w:val="000461A5"/>
    <w:rsid w:val="000534A1"/>
    <w:rsid w:val="00066740"/>
    <w:rsid w:val="0006797A"/>
    <w:rsid w:val="000756DA"/>
    <w:rsid w:val="000B4CAA"/>
    <w:rsid w:val="000E2911"/>
    <w:rsid w:val="00110BE6"/>
    <w:rsid w:val="001263DF"/>
    <w:rsid w:val="00136011"/>
    <w:rsid w:val="0015686F"/>
    <w:rsid w:val="00165FE9"/>
    <w:rsid w:val="001B4E32"/>
    <w:rsid w:val="00244556"/>
    <w:rsid w:val="002572C4"/>
    <w:rsid w:val="00292ED9"/>
    <w:rsid w:val="00327992"/>
    <w:rsid w:val="00351D9B"/>
    <w:rsid w:val="00380299"/>
    <w:rsid w:val="00404E5B"/>
    <w:rsid w:val="00414F7B"/>
    <w:rsid w:val="004355DC"/>
    <w:rsid w:val="00457888"/>
    <w:rsid w:val="004749B4"/>
    <w:rsid w:val="00475D20"/>
    <w:rsid w:val="00494130"/>
    <w:rsid w:val="004F3523"/>
    <w:rsid w:val="0051548F"/>
    <w:rsid w:val="00590D60"/>
    <w:rsid w:val="0059490A"/>
    <w:rsid w:val="005973B9"/>
    <w:rsid w:val="0059759B"/>
    <w:rsid w:val="005B3A56"/>
    <w:rsid w:val="005B49EE"/>
    <w:rsid w:val="006060CE"/>
    <w:rsid w:val="0061505C"/>
    <w:rsid w:val="0063497F"/>
    <w:rsid w:val="00652B95"/>
    <w:rsid w:val="0069668E"/>
    <w:rsid w:val="00714354"/>
    <w:rsid w:val="007544D2"/>
    <w:rsid w:val="008168BF"/>
    <w:rsid w:val="00821EA2"/>
    <w:rsid w:val="00832C75"/>
    <w:rsid w:val="008342F5"/>
    <w:rsid w:val="008369BB"/>
    <w:rsid w:val="00873DF0"/>
    <w:rsid w:val="008756E6"/>
    <w:rsid w:val="00897EC5"/>
    <w:rsid w:val="008A0763"/>
    <w:rsid w:val="008C5CE8"/>
    <w:rsid w:val="008C5F9E"/>
    <w:rsid w:val="008E5477"/>
    <w:rsid w:val="00914D2C"/>
    <w:rsid w:val="009B2D44"/>
    <w:rsid w:val="009F18CF"/>
    <w:rsid w:val="009F67A6"/>
    <w:rsid w:val="00A07E82"/>
    <w:rsid w:val="00A52075"/>
    <w:rsid w:val="00A9710C"/>
    <w:rsid w:val="00AD2A03"/>
    <w:rsid w:val="00AE3E37"/>
    <w:rsid w:val="00B21A57"/>
    <w:rsid w:val="00B233D6"/>
    <w:rsid w:val="00BE6743"/>
    <w:rsid w:val="00BF5547"/>
    <w:rsid w:val="00C33602"/>
    <w:rsid w:val="00C56C74"/>
    <w:rsid w:val="00CD6F55"/>
    <w:rsid w:val="00D478BB"/>
    <w:rsid w:val="00DC16E5"/>
    <w:rsid w:val="00DE3104"/>
    <w:rsid w:val="00DE6170"/>
    <w:rsid w:val="00E30AAC"/>
    <w:rsid w:val="00E31108"/>
    <w:rsid w:val="00E50B65"/>
    <w:rsid w:val="00E9258C"/>
    <w:rsid w:val="00E95D97"/>
    <w:rsid w:val="00EA7D51"/>
    <w:rsid w:val="00F046EA"/>
    <w:rsid w:val="00F312EA"/>
    <w:rsid w:val="00F35A62"/>
    <w:rsid w:val="00F4280C"/>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4CF97"/>
  <w15:docId w15:val="{EDFD2421-E278-4A0A-A7AE-EE99B266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10">
    <w:name w:val="未解析的提及1"/>
    <w:basedOn w:val="a0"/>
    <w:uiPriority w:val="99"/>
    <w:semiHidden/>
    <w:unhideWhenUsed/>
    <w:rsid w:val="005B49EE"/>
    <w:rPr>
      <w:color w:val="605E5C"/>
      <w:shd w:val="clear" w:color="auto" w:fill="E1DFDD"/>
    </w:rPr>
  </w:style>
  <w:style w:type="paragraph" w:styleId="Web">
    <w:name w:val="Normal (Web)"/>
    <w:basedOn w:val="a"/>
    <w:uiPriority w:val="99"/>
    <w:semiHidden/>
    <w:unhideWhenUsed/>
    <w:rsid w:val="008168BF"/>
    <w:pPr>
      <w:widowControl/>
      <w:spacing w:before="100" w:beforeAutospacing="1" w:after="100" w:afterAutospacing="1"/>
    </w:pPr>
    <w:rPr>
      <w:rFonts w:ascii="新細明體" w:eastAsia="新細明體" w:hAnsi="新細明體" w:cs="新細明體"/>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177904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13448.s.hr@gmail.com"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 chen su</cp:lastModifiedBy>
  <cp:revision>3</cp:revision>
  <dcterms:created xsi:type="dcterms:W3CDTF">2023-07-20T01:49:00Z</dcterms:created>
  <dcterms:modified xsi:type="dcterms:W3CDTF">2023-07-20T01:49:00Z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