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rPr>
          <w:rFonts w:ascii="Times New Roman" w:cs="Times New Roman" w:hAnsi="Times New Roman" w:eastAsia="Times New Roman"/>
          <w:b w:val="1"/>
          <w:bCs w:val="1"/>
          <w:sz w:val="40"/>
          <w:szCs w:val="40"/>
        </w:rPr>
      </w:pPr>
      <w:r>
        <w:rPr>
          <w:rFonts w:ascii="Times New Roman" w:hAnsi="Times New Roman"/>
          <w:b w:val="1"/>
          <w:bCs w:val="1"/>
          <w:sz w:val="40"/>
          <w:szCs w:val="40"/>
          <w:rtl w:val="0"/>
          <w:lang w:val="en-US"/>
        </w:rPr>
        <w:t>Precision Teaching: A Dynamic Match for Education in Neurosurgery</w:t>
      </w:r>
    </w:p>
    <w:p>
      <w:pPr>
        <w:pStyle w:val="Heading 2"/>
        <w:rPr>
          <w:rFonts w:ascii="Times New Roman" w:cs="Times New Roman" w:hAnsi="Times New Roman" w:eastAsia="Times New Roman"/>
          <w:b w:val="1"/>
          <w:bCs w:val="1"/>
        </w:rPr>
      </w:pPr>
      <w:r>
        <w:rPr>
          <w:rFonts w:ascii="Times New Roman" w:hAnsi="Times New Roman"/>
          <w:b w:val="1"/>
          <w:bCs w:val="1"/>
          <w:rtl w:val="0"/>
          <w:lang w:val="en-US"/>
        </w:rPr>
        <w:t>Laurel A. Seltzer</w:t>
      </w:r>
      <w:r>
        <w:rPr>
          <w:rFonts w:ascii="Times New Roman" w:hAnsi="Times New Roman"/>
          <w:b w:val="1"/>
          <w:bCs w:val="1"/>
          <w:vertAlign w:val="superscript"/>
          <w:rtl w:val="0"/>
          <w:lang w:val="en-US"/>
        </w:rPr>
        <w:t>1,4</w:t>
      </w:r>
      <w:r>
        <w:rPr>
          <w:rFonts w:ascii="Times New Roman" w:hAnsi="Times New Roman"/>
          <w:b w:val="1"/>
          <w:bCs w:val="1"/>
          <w:rtl w:val="0"/>
          <w:lang w:val="en-US"/>
        </w:rPr>
        <w:t>, Ryan E. Radwanski</w:t>
      </w:r>
      <w:r>
        <w:rPr>
          <w:rFonts w:ascii="Times New Roman" w:hAnsi="Times New Roman"/>
          <w:b w:val="1"/>
          <w:bCs w:val="1"/>
          <w:vertAlign w:val="superscript"/>
          <w:rtl w:val="0"/>
          <w:lang w:val="en-US"/>
        </w:rPr>
        <w:t>2,4</w:t>
      </w:r>
      <w:r>
        <w:rPr>
          <w:rFonts w:ascii="Times New Roman" w:hAnsi="Times New Roman"/>
          <w:b w:val="1"/>
          <w:bCs w:val="1"/>
          <w:rtl w:val="0"/>
          <w:lang w:val="en-US"/>
        </w:rPr>
        <w:t>, Susan C. Pannullo</w:t>
      </w:r>
      <w:r>
        <w:rPr>
          <w:rFonts w:ascii="Times New Roman" w:hAnsi="Times New Roman"/>
          <w:b w:val="1"/>
          <w:bCs w:val="1"/>
          <w:vertAlign w:val="superscript"/>
          <w:rtl w:val="0"/>
          <w:lang w:val="en-US"/>
        </w:rPr>
        <w:t>3,4</w:t>
      </w:r>
    </w:p>
    <w:p>
      <w:pPr>
        <w:pStyle w:val="Heading 2"/>
        <w:rPr>
          <w:rFonts w:ascii="Times New Roman" w:cs="Times New Roman" w:hAnsi="Times New Roman" w:eastAsia="Times New Roman"/>
          <w:position w:val="20"/>
          <w:sz w:val="26"/>
          <w:szCs w:val="26"/>
        </w:rPr>
      </w:pPr>
      <w:r>
        <w:rPr>
          <w:rFonts w:ascii="Times New Roman" w:hAnsi="Times New Roman"/>
          <w:sz w:val="26"/>
          <w:szCs w:val="26"/>
          <w:vertAlign w:val="superscript"/>
          <w:rtl w:val="0"/>
          <w:lang w:val="en-US"/>
        </w:rPr>
        <w:t>1</w:t>
      </w:r>
      <w:r>
        <w:rPr>
          <w:rFonts w:ascii="Times New Roman" w:hAnsi="Times New Roman"/>
          <w:sz w:val="26"/>
          <w:szCs w:val="26"/>
          <w:rtl w:val="0"/>
          <w:lang w:val="en-US"/>
        </w:rPr>
        <w:t>Department of Neuro</w:t>
      </w:r>
      <w:r>
        <w:rPr>
          <w:rFonts w:ascii="Times New Roman" w:hAnsi="Times New Roman"/>
          <w:sz w:val="26"/>
          <w:szCs w:val="26"/>
          <w:rtl w:val="0"/>
          <w:lang w:val="en-US"/>
        </w:rPr>
        <w:t>logical Surgery</w:t>
      </w:r>
      <w:r>
        <w:rPr>
          <w:rFonts w:ascii="Times New Roman" w:hAnsi="Times New Roman"/>
          <w:sz w:val="26"/>
          <w:szCs w:val="26"/>
          <w:rtl w:val="0"/>
        </w:rPr>
        <w:t xml:space="preserve">, Tulane </w:t>
      </w:r>
      <w:r>
        <w:rPr>
          <w:rFonts w:ascii="Times New Roman" w:hAnsi="Times New Roman"/>
          <w:sz w:val="26"/>
          <w:szCs w:val="26"/>
          <w:rtl w:val="0"/>
          <w:lang w:val="en-US"/>
        </w:rPr>
        <w:t>Medical Center</w:t>
      </w:r>
      <w:r>
        <w:rPr>
          <w:rFonts w:ascii="Times New Roman" w:hAnsi="Times New Roman"/>
          <w:sz w:val="26"/>
          <w:szCs w:val="26"/>
          <w:rtl w:val="0"/>
          <w:lang w:val="en-US"/>
        </w:rPr>
        <w:t>, New Orleans, LA, USA</w:t>
      </w:r>
    </w:p>
    <w:p>
      <w:pPr>
        <w:pStyle w:val="Default"/>
        <w:bidi w:val="0"/>
        <w:spacing w:before="0" w:after="40" w:line="240" w:lineRule="auto"/>
        <w:ind w:left="0" w:right="0" w:firstLine="0"/>
        <w:jc w:val="left"/>
        <w:rPr>
          <w:rFonts w:ascii="Times New Roman" w:cs="Times New Roman" w:hAnsi="Times New Roman" w:eastAsia="Times New Roman"/>
          <w:sz w:val="26"/>
          <w:szCs w:val="26"/>
          <w:u w:color="000000"/>
          <w:rtl w:val="0"/>
          <w:lang w:val="en-US"/>
        </w:rPr>
      </w:pPr>
      <w:r>
        <w:rPr>
          <w:rFonts w:ascii="Times New Roman" w:hAnsi="Times New Roman"/>
          <w:sz w:val="26"/>
          <w:szCs w:val="26"/>
          <w:u w:color="000000"/>
          <w:vertAlign w:val="superscript"/>
          <w:rtl w:val="0"/>
          <w:lang w:val="en-US"/>
        </w:rPr>
        <w:t>2</w:t>
      </w:r>
      <w:r>
        <w:rPr>
          <w:rFonts w:ascii="Times New Roman" w:hAnsi="Times New Roman"/>
          <w:sz w:val="26"/>
          <w:szCs w:val="26"/>
          <w:u w:color="000000"/>
          <w:rtl w:val="0"/>
          <w:lang w:val="en-US"/>
        </w:rPr>
        <w:t xml:space="preserve">Department of Neurological Surgery, Rutgers </w:t>
      </w:r>
      <w:r>
        <w:rPr>
          <w:rFonts w:ascii="Times New Roman" w:hAnsi="Times New Roman"/>
          <w:sz w:val="26"/>
          <w:szCs w:val="26"/>
          <w:u w:color="000000"/>
          <w:rtl w:val="0"/>
          <w:lang w:val="en-US"/>
        </w:rPr>
        <w:t>and</w:t>
      </w:r>
      <w:r>
        <w:rPr>
          <w:rFonts w:ascii="Times New Roman" w:hAnsi="Times New Roman"/>
          <w:sz w:val="26"/>
          <w:szCs w:val="26"/>
          <w:u w:color="000000"/>
          <w:rtl w:val="0"/>
          <w:lang w:val="en-US"/>
        </w:rPr>
        <w:t xml:space="preserve"> RWJ</w:t>
      </w:r>
      <w:r>
        <w:rPr>
          <w:rFonts w:ascii="Times New Roman" w:hAnsi="Times New Roman"/>
          <w:sz w:val="26"/>
          <w:szCs w:val="26"/>
          <w:u w:color="000000"/>
          <w:rtl w:val="0"/>
          <w:lang w:val="en-US"/>
        </w:rPr>
        <w:t xml:space="preserve"> </w:t>
      </w:r>
      <w:r>
        <w:rPr>
          <w:rFonts w:ascii="Times New Roman" w:hAnsi="Times New Roman"/>
          <w:sz w:val="26"/>
          <w:szCs w:val="26"/>
          <w:u w:color="000000"/>
          <w:rtl w:val="0"/>
          <w:lang w:val="en-US"/>
        </w:rPr>
        <w:t xml:space="preserve">Barnabas Health, New </w:t>
      </w:r>
      <w:r>
        <w:rPr>
          <w:rFonts w:ascii="Times New Roman" w:hAnsi="Times New Roman"/>
          <w:sz w:val="26"/>
          <w:szCs w:val="26"/>
          <w:u w:color="000000"/>
          <w:rtl w:val="0"/>
          <w:lang w:val="en-US"/>
        </w:rPr>
        <w:t>Brunswick</w:t>
      </w:r>
      <w:r>
        <w:rPr>
          <w:rFonts w:ascii="Times New Roman" w:hAnsi="Times New Roman"/>
          <w:sz w:val="26"/>
          <w:szCs w:val="26"/>
          <w:u w:color="000000"/>
          <w:rtl w:val="0"/>
          <w:lang w:val="en-US"/>
        </w:rPr>
        <w:t xml:space="preserve">, </w:t>
      </w:r>
      <w:r>
        <w:rPr>
          <w:rFonts w:ascii="Times New Roman" w:hAnsi="Times New Roman"/>
          <w:sz w:val="26"/>
          <w:szCs w:val="26"/>
          <w:u w:color="000000"/>
          <w:rtl w:val="0"/>
          <w:lang w:val="en-US"/>
        </w:rPr>
        <w:t>NJ</w:t>
      </w:r>
      <w:r>
        <w:rPr>
          <w:rFonts w:ascii="Times New Roman" w:hAnsi="Times New Roman"/>
          <w:sz w:val="26"/>
          <w:szCs w:val="26"/>
          <w:u w:color="000000"/>
          <w:rtl w:val="0"/>
          <w:lang w:val="en-US"/>
        </w:rPr>
        <w:t>, USA</w:t>
      </w:r>
    </w:p>
    <w:p>
      <w:pPr>
        <w:pStyle w:val="Default"/>
        <w:bidi w:val="0"/>
        <w:spacing w:before="0" w:after="40" w:line="240" w:lineRule="auto"/>
        <w:ind w:left="0" w:right="0" w:firstLine="0"/>
        <w:jc w:val="left"/>
        <w:rPr>
          <w:rFonts w:ascii="Times New Roman" w:cs="Times New Roman" w:hAnsi="Times New Roman" w:eastAsia="Times New Roman"/>
          <w:sz w:val="26"/>
          <w:szCs w:val="26"/>
          <w:u w:color="000000"/>
          <w:rtl w:val="0"/>
          <w:lang w:val="en-US"/>
        </w:rPr>
      </w:pPr>
      <w:r>
        <w:rPr>
          <w:rFonts w:ascii="Times New Roman" w:hAnsi="Times New Roman"/>
          <w:sz w:val="26"/>
          <w:szCs w:val="26"/>
          <w:u w:color="000000"/>
          <w:vertAlign w:val="superscript"/>
          <w:rtl w:val="0"/>
          <w:lang w:val="en-US"/>
        </w:rPr>
        <w:t>3</w:t>
      </w:r>
      <w:r>
        <w:rPr>
          <w:rFonts w:ascii="Times New Roman" w:hAnsi="Times New Roman"/>
          <w:sz w:val="26"/>
          <w:szCs w:val="26"/>
          <w:u w:color="000000"/>
          <w:rtl w:val="0"/>
          <w:lang w:val="en-US"/>
        </w:rPr>
        <w:t>Department of Neurological Surgery, Weill Cornell Medicine, New York, NY, USA</w:t>
      </w:r>
    </w:p>
    <w:p>
      <w:pPr>
        <w:pStyle w:val="Default"/>
        <w:bidi w:val="0"/>
        <w:spacing w:before="0" w:after="40" w:line="240" w:lineRule="auto"/>
        <w:ind w:left="0" w:right="0" w:firstLine="0"/>
        <w:jc w:val="left"/>
        <w:rPr>
          <w:rFonts w:ascii="Times New Roman" w:cs="Times New Roman" w:hAnsi="Times New Roman" w:eastAsia="Times New Roman"/>
          <w:b w:val="1"/>
          <w:bCs w:val="1"/>
          <w:sz w:val="26"/>
          <w:szCs w:val="26"/>
          <w:u w:color="000000"/>
          <w:vertAlign w:val="superscript"/>
          <w:rtl w:val="0"/>
          <w:lang w:val="en-US"/>
        </w:rPr>
      </w:pPr>
      <w:r>
        <w:rPr>
          <w:rFonts w:ascii="Times New Roman" w:hAnsi="Times New Roman"/>
          <w:sz w:val="26"/>
          <w:szCs w:val="26"/>
          <w:u w:color="000000"/>
          <w:vertAlign w:val="superscript"/>
          <w:rtl w:val="0"/>
          <w:lang w:val="en-US"/>
        </w:rPr>
        <w:t>4</w:t>
      </w:r>
      <w:r>
        <w:rPr>
          <w:rFonts w:ascii="Times New Roman" w:hAnsi="Times New Roman"/>
          <w:sz w:val="26"/>
          <w:szCs w:val="26"/>
          <w:u w:color="000000"/>
          <w:rtl w:val="0"/>
          <w:lang w:val="en-US"/>
        </w:rPr>
        <w:t>Medical Student Neurosurgery Training Center, Brain and Spine Group, Inc., Pasadena, CA, USA</w:t>
      </w:r>
    </w:p>
    <w:p>
      <w:pPr>
        <w:pStyle w:val="Heading 2"/>
        <w:jc w:val="both"/>
        <w:rPr>
          <w:rFonts w:ascii="Times New Roman" w:cs="Times New Roman" w:hAnsi="Times New Roman" w:eastAsia="Times New Roman"/>
          <w:b w:val="1"/>
          <w:bCs w:val="1"/>
          <w:vertAlign w:val="superscript"/>
        </w:rPr>
      </w:pPr>
    </w:p>
    <w:p>
      <w:pPr>
        <w:pStyle w:val="Heading 2"/>
        <w:jc w:val="both"/>
        <w:rPr>
          <w:rFonts w:ascii="Times New Roman" w:cs="Times New Roman" w:hAnsi="Times New Roman" w:eastAsia="Times New Roman"/>
          <w:b w:val="1"/>
          <w:bCs w:val="1"/>
        </w:rPr>
      </w:pPr>
      <w:r>
        <w:rPr>
          <w:rFonts w:ascii="Times New Roman" w:hAnsi="Times New Roman"/>
          <w:b w:val="1"/>
          <w:bCs w:val="1"/>
          <w:rtl w:val="0"/>
          <w:lang w:val="en-US"/>
        </w:rPr>
        <w:t>Abstract:</w:t>
      </w:r>
    </w:p>
    <w:p>
      <w:pPr>
        <w:pStyle w:val="Body"/>
        <w:bidi w:val="0"/>
        <w:spacing w:after="60" w:line="259" w:lineRule="auto"/>
        <w:ind w:left="0" w:right="0" w:firstLine="0"/>
        <w:jc w:val="both"/>
        <w:rPr>
          <w:rFonts w:ascii="Times New Roman" w:cs="Times New Roman" w:hAnsi="Times New Roman" w:eastAsia="Times New Roman"/>
          <w:spacing w:val="0"/>
          <w:u w:color="000000"/>
          <w:rtl w:val="0"/>
        </w:rPr>
      </w:pPr>
      <w:r>
        <w:rPr>
          <w:rFonts w:ascii="Times New Roman" w:hAnsi="Times New Roman"/>
          <w:b w:val="1"/>
          <w:bCs w:val="1"/>
          <w:spacing w:val="0"/>
          <w:u w:color="000000"/>
          <w:rtl w:val="0"/>
          <w:lang w:val="fr-FR"/>
        </w:rPr>
        <w:t>Introduction</w:t>
      </w:r>
      <w:r>
        <w:rPr>
          <w:rFonts w:ascii="Times New Roman" w:hAnsi="Times New Roman"/>
          <w:b w:val="1"/>
          <w:bCs w:val="1"/>
          <w:spacing w:val="0"/>
          <w:u w:color="000000"/>
          <w:rtl w:val="0"/>
          <w:lang w:val="en-US"/>
        </w:rPr>
        <w:t xml:space="preserve">: </w:t>
      </w:r>
      <w:r>
        <w:rPr>
          <w:rFonts w:ascii="Times New Roman" w:hAnsi="Times New Roman"/>
          <w:spacing w:val="0"/>
          <w:u w:color="000000"/>
          <w:rtl w:val="0"/>
          <w:lang w:val="en-US"/>
        </w:rPr>
        <w:t>N</w:t>
      </w:r>
      <w:r>
        <w:rPr>
          <w:rFonts w:ascii="Times New Roman" w:hAnsi="Times New Roman"/>
          <w:spacing w:val="0"/>
          <w:u w:color="000000"/>
          <w:rtl w:val="0"/>
          <w:lang w:val="en-US"/>
        </w:rPr>
        <w:t>eurosurgical education in medical school</w:t>
      </w:r>
      <w:r>
        <w:rPr>
          <w:rFonts w:ascii="Times New Roman" w:hAnsi="Times New Roman"/>
          <w:spacing w:val="0"/>
          <w:u w:color="000000"/>
          <w:rtl w:val="0"/>
          <w:lang w:val="en-US"/>
        </w:rPr>
        <w:t xml:space="preserve"> lacks a cohesive structure, reiterated by widespread variability in curriculum content. Of increasing use in medical education, precision teaching (P</w:t>
      </w:r>
      <w:r>
        <w:rPr>
          <w:rFonts w:ascii="Times New Roman" w:hAnsi="Times New Roman"/>
          <w:spacing w:val="0"/>
          <w:u w:color="000000"/>
          <w:rtl w:val="0"/>
        </w:rPr>
        <w:t>T</w:t>
      </w:r>
      <w:r>
        <w:rPr>
          <w:rFonts w:ascii="Times New Roman" w:hAnsi="Times New Roman"/>
          <w:spacing w:val="0"/>
          <w:u w:color="000000"/>
          <w:rtl w:val="0"/>
          <w:lang w:val="en-US"/>
        </w:rPr>
        <w:t xml:space="preserve">) comprises </w:t>
      </w:r>
      <w:r>
        <w:rPr>
          <w:rFonts w:ascii="Times New Roman" w:hAnsi="Times New Roman"/>
          <w:spacing w:val="0"/>
          <w:u w:color="000000"/>
          <w:rtl w:val="0"/>
          <w:lang w:val="en-US"/>
          <w14:textOutline w14:w="12700" w14:cap="flat">
            <w14:noFill/>
            <w14:miter w14:lim="400000"/>
          </w14:textOutline>
        </w:rPr>
        <w:t>a</w:t>
      </w:r>
      <w:r>
        <w:rPr>
          <w:rFonts w:ascii="Times New Roman" w:hAnsi="Times New Roman"/>
          <w:spacing w:val="0"/>
          <w:u w:color="000000"/>
          <w:rtl w:val="0"/>
          <w:lang w:val="en-US"/>
          <w14:textOutline w14:w="12700" w14:cap="flat">
            <w14:noFill/>
            <w14:miter w14:lim="400000"/>
          </w14:textOutline>
        </w:rPr>
        <w:t xml:space="preserve"> standardized, targeted teaching approach </w:t>
      </w:r>
      <w:r>
        <w:rPr>
          <w:rFonts w:ascii="Times New Roman" w:hAnsi="Times New Roman"/>
          <w:spacing w:val="0"/>
          <w:u w:color="000000"/>
          <w:rtl w:val="0"/>
          <w:lang w:val="en-US"/>
          <w14:textOutline w14:w="12700" w14:cap="flat">
            <w14:noFill/>
            <w14:miter w14:lim="400000"/>
          </w14:textOutline>
        </w:rPr>
        <w:t xml:space="preserve">with </w:t>
      </w:r>
      <w:r>
        <w:rPr>
          <w:rFonts w:ascii="Times New Roman" w:hAnsi="Times New Roman"/>
          <w:spacing w:val="0"/>
          <w:u w:color="000000"/>
          <w:rtl w:val="0"/>
          <w:lang w:val="en-US"/>
          <w14:textOutline w14:w="12700" w14:cap="flat">
            <w14:noFill/>
            <w14:miter w14:lim="400000"/>
          </w14:textOutline>
        </w:rPr>
        <w:t>quantifi</w:t>
      </w:r>
      <w:r>
        <w:rPr>
          <w:rFonts w:ascii="Times New Roman" w:hAnsi="Times New Roman"/>
          <w:spacing w:val="0"/>
          <w:u w:color="000000"/>
          <w:rtl w:val="0"/>
          <w:lang w:val="en-US"/>
          <w14:textOutline w14:w="12700" w14:cap="flat">
            <w14:noFill/>
            <w14:miter w14:lim="400000"/>
          </w14:textOutline>
        </w:rPr>
        <w:t>able outcomes</w:t>
      </w:r>
      <w:r>
        <w:rPr>
          <w:rFonts w:ascii="Times New Roman" w:hAnsi="Times New Roman"/>
          <w:spacing w:val="0"/>
          <w:u w:color="000000"/>
          <w:rtl w:val="0"/>
          <w:lang w:val="en-US"/>
          <w14:textOutline w14:w="12700" w14:cap="flat">
            <w14:noFill/>
            <w14:miter w14:lim="400000"/>
          </w14:textOutline>
        </w:rPr>
        <w:t xml:space="preserve">. </w:t>
      </w:r>
      <w:r>
        <w:rPr>
          <w:rFonts w:ascii="Times New Roman" w:hAnsi="Times New Roman"/>
          <w:spacing w:val="0"/>
          <w:u w:color="000000"/>
          <w:rtl w:val="0"/>
          <w:lang w:val="en-US"/>
        </w:rPr>
        <w:t>Herein</w:t>
      </w:r>
      <w:r>
        <w:rPr>
          <w:rFonts w:ascii="Times New Roman" w:hAnsi="Times New Roman"/>
          <w:spacing w:val="0"/>
          <w:u w:color="000000"/>
          <w:rtl w:val="0"/>
          <w:lang w:val="en-US"/>
        </w:rPr>
        <w:t xml:space="preserve">, we </w:t>
      </w:r>
      <w:r>
        <w:rPr>
          <w:rFonts w:ascii="Times New Roman" w:hAnsi="Times New Roman"/>
          <w:spacing w:val="0"/>
          <w:u w:color="000000"/>
          <w:rtl w:val="0"/>
          <w:lang w:val="en-US"/>
        </w:rPr>
        <w:t>detail our use of PT as a model for creating a</w:t>
      </w:r>
      <w:r>
        <w:rPr>
          <w:rFonts w:ascii="Times New Roman" w:hAnsi="Times New Roman"/>
          <w:spacing w:val="0"/>
          <w:u w:color="000000"/>
          <w:rtl w:val="0"/>
          <w:lang w:val="en-US"/>
          <w14:textOutline w14:w="12700" w14:cap="flat">
            <w14:noFill/>
            <w14:miter w14:lim="400000"/>
          </w14:textOutline>
        </w:rPr>
        <w:t xml:space="preserve"> </w:t>
      </w:r>
      <w:r>
        <w:rPr>
          <w:rFonts w:ascii="Times New Roman" w:hAnsi="Times New Roman"/>
          <w:spacing w:val="0"/>
          <w:u w:color="000000"/>
          <w:rtl w:val="0"/>
          <w:lang w:val="en-US"/>
          <w14:textOutline w14:w="12700" w14:cap="flat">
            <w14:noFill/>
            <w14:miter w14:lim="400000"/>
          </w14:textOutline>
        </w:rPr>
        <w:t xml:space="preserve">global </w:t>
      </w:r>
      <w:r>
        <w:rPr>
          <w:rFonts w:ascii="Times New Roman" w:hAnsi="Times New Roman"/>
          <w:spacing w:val="0"/>
          <w:u w:color="000000"/>
          <w:rtl w:val="0"/>
          <w:lang w:val="en-US"/>
          <w14:textOutline w14:w="12700" w14:cap="flat">
            <w14:noFill/>
            <w14:miter w14:lim="400000"/>
          </w14:textOutline>
        </w:rPr>
        <w:t xml:space="preserve">set of </w:t>
      </w:r>
      <w:r>
        <w:rPr>
          <w:rFonts w:ascii="Times New Roman" w:hAnsi="Times New Roman"/>
          <w:spacing w:val="0"/>
          <w:u w:color="000000"/>
          <w:rtl w:val="0"/>
          <w:lang w:val="en-US"/>
          <w14:textOutline w14:w="12700" w14:cap="flat">
            <w14:noFill/>
            <w14:miter w14:lim="400000"/>
          </w14:textOutline>
        </w:rPr>
        <w:t xml:space="preserve">neurosurgery </w:t>
      </w:r>
      <w:r>
        <w:rPr>
          <w:rFonts w:ascii="Times New Roman" w:hAnsi="Times New Roman"/>
          <w:spacing w:val="0"/>
          <w:u w:color="000000"/>
          <w:rtl w:val="0"/>
          <w:lang w:val="en-US"/>
          <w14:textOutline w14:w="12700" w14:cap="flat">
            <w14:noFill/>
            <w14:miter w14:lim="400000"/>
          </w14:textOutline>
        </w:rPr>
        <w:t xml:space="preserve">learning objectives for </w:t>
      </w:r>
      <w:r>
        <w:rPr>
          <w:rFonts w:ascii="Times New Roman" w:hAnsi="Times New Roman"/>
          <w:spacing w:val="0"/>
          <w:u w:color="000000"/>
          <w:rtl w:val="0"/>
          <w:lang w:val="en-US"/>
          <w14:textOutline w14:w="12700" w14:cap="flat">
            <w14:noFill/>
            <w14:miter w14:lim="400000"/>
          </w14:textOutline>
        </w:rPr>
        <w:t>m</w:t>
      </w:r>
      <w:r>
        <w:rPr>
          <w:rFonts w:ascii="Times New Roman" w:hAnsi="Times New Roman"/>
          <w:spacing w:val="0"/>
          <w:u w:color="000000"/>
          <w:rtl w:val="0"/>
          <w:lang w:val="en-US"/>
          <w14:textOutline w14:w="12700" w14:cap="flat">
            <w14:noFill/>
            <w14:miter w14:lim="400000"/>
          </w14:textOutline>
        </w:rPr>
        <w:t xml:space="preserve">edical </w:t>
      </w:r>
      <w:r>
        <w:rPr>
          <w:rFonts w:ascii="Times New Roman" w:hAnsi="Times New Roman"/>
          <w:spacing w:val="0"/>
          <w:u w:color="000000"/>
          <w:rtl w:val="0"/>
          <w:lang w:val="en-US"/>
          <w14:textOutline w14:w="12700" w14:cap="flat">
            <w14:noFill/>
            <w14:miter w14:lim="400000"/>
          </w14:textOutline>
        </w:rPr>
        <w:t>s</w:t>
      </w:r>
      <w:r>
        <w:rPr>
          <w:rFonts w:ascii="Times New Roman" w:hAnsi="Times New Roman"/>
          <w:spacing w:val="0"/>
          <w:u w:color="000000"/>
          <w:rtl w:val="0"/>
          <w:lang w:val="en-US"/>
          <w14:textOutline w14:w="12700" w14:cap="flat">
            <w14:noFill/>
            <w14:miter w14:lim="400000"/>
          </w14:textOutline>
        </w:rPr>
        <w:t>tudents</w:t>
      </w:r>
      <w:r>
        <w:rPr>
          <w:rFonts w:ascii="Times New Roman" w:hAnsi="Times New Roman"/>
          <w:spacing w:val="0"/>
          <w:u w:color="000000"/>
          <w:rtl w:val="0"/>
          <w:lang w:val="en-US"/>
          <w14:textOutline w14:w="12700" w14:cap="flat">
            <w14:noFill/>
            <w14:miter w14:lim="400000"/>
          </w14:textOutline>
        </w:rPr>
        <w:t xml:space="preserve">, evaluating for its educational efficacy and clinical practicality. </w:t>
      </w:r>
    </w:p>
    <w:p>
      <w:pPr>
        <w:pStyle w:val="Body"/>
        <w:bidi w:val="0"/>
        <w:spacing w:after="60" w:line="259" w:lineRule="auto"/>
        <w:ind w:left="0" w:right="0" w:firstLine="0"/>
        <w:jc w:val="both"/>
        <w:rPr>
          <w:rFonts w:ascii="Times New Roman" w:cs="Times New Roman" w:hAnsi="Times New Roman" w:eastAsia="Times New Roman"/>
          <w:spacing w:val="0"/>
          <w:u w:color="000000"/>
          <w:rtl w:val="0"/>
        </w:rPr>
      </w:pPr>
      <w:r>
        <w:rPr>
          <w:rFonts w:ascii="Times New Roman" w:hAnsi="Times New Roman"/>
          <w:b w:val="1"/>
          <w:bCs w:val="1"/>
          <w:spacing w:val="0"/>
          <w:u w:color="000000"/>
          <w:rtl w:val="0"/>
          <w:lang w:val="en-US"/>
        </w:rPr>
        <w:t>Methods</w:t>
      </w:r>
      <w:r>
        <w:rPr>
          <w:rFonts w:ascii="Times New Roman" w:hAnsi="Times New Roman"/>
          <w:b w:val="1"/>
          <w:bCs w:val="1"/>
          <w:spacing w:val="0"/>
          <w:u w:color="000000"/>
          <w:rtl w:val="0"/>
          <w:lang w:val="en-US"/>
        </w:rPr>
        <w:t xml:space="preserve">: </w:t>
      </w:r>
      <w:r>
        <w:rPr>
          <w:rFonts w:ascii="Times New Roman" w:hAnsi="Times New Roman"/>
          <w:spacing w:val="0"/>
          <w:u w:color="000000"/>
          <w:rtl w:val="0"/>
          <w:lang w:val="en-US"/>
        </w:rPr>
        <w:t>We enrolled 14 medical students in the project, each of whom expressed interest in neurosurgery and participated voluntarily. Participants ranged from years two through four of their medical school training, included one MD/PhD candidate, and represented four US medical schools. Participants were randomly assigned to five groups. The study design included participation in weekly hour-long educational sessions taught by a multidisciplinary team comprising a neurosurgeon with expertise in brain and spine tumors, a neurosurgery PGY-1 resident, and a PT specialist. Groups then formulated PT-based learning objectives for assigned subtopics. Faculty participants from each subspecialty assessed for accuracy and functionality and provided targeted commentary, which was addressed with appropriate content modifications. Participant feedback was obtained continuously throughout the study.</w:t>
      </w:r>
    </w:p>
    <w:p>
      <w:pPr>
        <w:pStyle w:val="Body"/>
        <w:bidi w:val="0"/>
        <w:spacing w:after="120" w:line="259" w:lineRule="auto"/>
        <w:ind w:left="0" w:right="0" w:firstLine="0"/>
        <w:jc w:val="both"/>
        <w:rPr>
          <w:rFonts w:ascii="Times New Roman" w:cs="Times New Roman" w:hAnsi="Times New Roman" w:eastAsia="Times New Roman"/>
          <w:spacing w:val="0"/>
          <w:u w:color="000000"/>
          <w:rtl w:val="0"/>
        </w:rPr>
      </w:pPr>
      <w:r>
        <w:rPr>
          <w:rFonts w:ascii="Times New Roman" w:hAnsi="Times New Roman"/>
          <w:b w:val="1"/>
          <w:bCs w:val="1"/>
          <w:spacing w:val="0"/>
          <w:u w:color="000000"/>
          <w:rtl w:val="0"/>
          <w:lang w:val="pt-PT"/>
        </w:rPr>
        <w:t>Results</w:t>
      </w:r>
      <w:r>
        <w:rPr>
          <w:rFonts w:ascii="Times New Roman" w:hAnsi="Times New Roman"/>
          <w:b w:val="1"/>
          <w:bCs w:val="1"/>
          <w:spacing w:val="0"/>
          <w:u w:color="000000"/>
          <w:rtl w:val="0"/>
          <w:lang w:val="en-US"/>
        </w:rPr>
        <w:t xml:space="preserve">: </w:t>
      </w:r>
      <w:r>
        <w:rPr>
          <w:rFonts w:ascii="Times New Roman" w:hAnsi="Times New Roman"/>
          <w:spacing w:val="0"/>
          <w:u w:color="000000"/>
          <w:rtl w:val="0"/>
          <w:lang w:val="en-US"/>
        </w:rPr>
        <w:t>Through student participants</w:t>
      </w:r>
      <w:r>
        <w:rPr>
          <w:rFonts w:ascii="Times New Roman" w:hAnsi="Times New Roman" w:hint="default"/>
          <w:spacing w:val="0"/>
          <w:u w:color="000000"/>
          <w:rtl w:val="1"/>
        </w:rPr>
        <w:t xml:space="preserve">’ </w:t>
      </w:r>
      <w:r>
        <w:rPr>
          <w:rFonts w:ascii="Times New Roman" w:hAnsi="Times New Roman"/>
          <w:spacing w:val="0"/>
          <w:u w:color="000000"/>
          <w:rtl w:val="0"/>
          <w:lang w:val="en-US"/>
        </w:rPr>
        <w:t>evaluations, a PT-based model was found to clearly identify and systematically construct learning objectives with pinpointed and measurable outcomes. The collaborative and multidisciplinary nature of the project was found to be advantageous. The objective determination of learners</w:t>
      </w:r>
      <w:r>
        <w:rPr>
          <w:rFonts w:ascii="Times New Roman" w:hAnsi="Times New Roman" w:hint="default"/>
          <w:spacing w:val="0"/>
          <w:u w:color="000000"/>
          <w:rtl w:val="1"/>
        </w:rPr>
        <w:t xml:space="preserve">’ </w:t>
      </w:r>
      <w:r>
        <w:rPr>
          <w:rFonts w:ascii="Times New Roman" w:hAnsi="Times New Roman"/>
          <w:spacing w:val="0"/>
          <w:u w:color="000000"/>
          <w:rtl w:val="0"/>
          <w:lang w:val="en-US"/>
        </w:rPr>
        <w:t xml:space="preserve">successful knowledge and skill acquisition yielded favorable feedback and lended additional practical value. The magnitude of content was found to vary by subspecialty, with timeline for production modified accordingly. </w:t>
      </w:r>
    </w:p>
    <w:p>
      <w:pPr>
        <w:pStyle w:val="Body"/>
        <w:bidi w:val="0"/>
        <w:spacing w:after="60" w:line="259" w:lineRule="auto"/>
        <w:ind w:left="0" w:right="0" w:firstLine="0"/>
        <w:jc w:val="both"/>
        <w:rPr>
          <w:rFonts w:ascii="Times New Roman" w:cs="Times New Roman" w:hAnsi="Times New Roman" w:eastAsia="Times New Roman"/>
          <w:spacing w:val="0"/>
          <w:u w:color="000000"/>
          <w:rtl w:val="0"/>
        </w:rPr>
      </w:pPr>
      <w:r>
        <w:rPr>
          <w:rFonts w:ascii="Times New Roman" w:hAnsi="Times New Roman"/>
          <w:b w:val="1"/>
          <w:bCs w:val="1"/>
          <w:spacing w:val="0"/>
          <w:u w:color="000000"/>
          <w:rtl w:val="0"/>
          <w:lang w:val="it-IT"/>
        </w:rPr>
        <w:t>Conclusion</w:t>
      </w:r>
      <w:r>
        <w:rPr>
          <w:rFonts w:ascii="Times New Roman" w:hAnsi="Times New Roman"/>
          <w:b w:val="1"/>
          <w:bCs w:val="1"/>
          <w:spacing w:val="0"/>
          <w:u w:color="000000"/>
          <w:rtl w:val="0"/>
          <w:lang w:val="en-US"/>
        </w:rPr>
        <w:t xml:space="preserve">: </w:t>
      </w:r>
      <w:r>
        <w:rPr>
          <w:rFonts w:ascii="Times New Roman" w:hAnsi="Times New Roman"/>
          <w:spacing w:val="0"/>
          <w:u w:color="000000"/>
          <w:rtl w:val="0"/>
          <w:lang w:val="en-US"/>
        </w:rPr>
        <w:t xml:space="preserve">We demonstrated that with the use of PT, </w:t>
      </w:r>
      <w:r>
        <w:rPr>
          <w:rFonts w:ascii="Times New Roman" w:hAnsi="Times New Roman"/>
          <w:spacing w:val="0"/>
          <w:u w:color="000000"/>
          <w:rtl w:val="0"/>
          <w:lang w:val="en-US"/>
          <w14:textOutline w14:w="12700" w14:cap="flat">
            <w14:noFill/>
            <w14:miter w14:lim="400000"/>
          </w14:textOutline>
        </w:rPr>
        <w:t>a global set of measurable</w:t>
      </w:r>
      <w:r>
        <w:rPr>
          <w:rFonts w:ascii="Times New Roman" w:hAnsi="Times New Roman" w:hint="default"/>
          <w:spacing w:val="0"/>
          <w:u w:color="000000"/>
          <w:rtl w:val="0"/>
          <w:lang w:val="en-US"/>
          <w14:textOutline w14:w="12700" w14:cap="flat">
            <w14:noFill/>
            <w14:miter w14:lim="400000"/>
          </w14:textOutline>
        </w:rPr>
        <w:t> </w:t>
      </w:r>
      <w:r>
        <w:rPr>
          <w:rFonts w:ascii="Times New Roman" w:hAnsi="Times New Roman"/>
          <w:spacing w:val="0"/>
          <w:u w:color="000000"/>
          <w:rtl w:val="0"/>
          <w:lang w:val="en-US"/>
          <w14:textOutline w14:w="12700" w14:cap="flat">
            <w14:noFill/>
            <w14:miter w14:lim="400000"/>
          </w14:textOutline>
        </w:rPr>
        <w:t>neurosurgery learning objectives for</w:t>
      </w:r>
      <w:r>
        <w:rPr>
          <w:rFonts w:ascii="Times New Roman" w:hAnsi="Times New Roman"/>
          <w:spacing w:val="0"/>
          <w:u w:color="000000"/>
          <w:rtl w:val="0"/>
          <w:lang w:val="en-US"/>
          <w14:textOutline w14:w="12700" w14:cap="flat">
            <w14:noFill/>
            <w14:miter w14:lim="400000"/>
          </w14:textOutline>
        </w:rPr>
        <w:t xml:space="preserve"> medical students can establish </w:t>
      </w:r>
      <w:r>
        <w:rPr>
          <w:rFonts w:ascii="Times New Roman" w:hAnsi="Times New Roman"/>
          <w:spacing w:val="0"/>
          <w:u w:color="000000"/>
          <w:rtl w:val="0"/>
          <w:lang w:val="en-US"/>
          <w14:textOutline w14:w="12700" w14:cap="flat">
            <w14:noFill/>
            <w14:miter w14:lim="400000"/>
          </w14:textOutline>
        </w:rPr>
        <w:t xml:space="preserve">a </w:t>
      </w:r>
      <w:r>
        <w:rPr>
          <w:rFonts w:ascii="Times New Roman" w:hAnsi="Times New Roman"/>
          <w:spacing w:val="0"/>
          <w:u w:color="000000"/>
          <w:rtl w:val="0"/>
          <w:lang w:val="en-US"/>
          <w14:textOutline w14:w="12700" w14:cap="flat">
            <w14:noFill/>
            <w14:miter w14:lim="400000"/>
          </w14:textOutline>
        </w:rPr>
        <w:t>targeted</w:t>
      </w:r>
      <w:r>
        <w:rPr>
          <w:rFonts w:ascii="Times New Roman" w:hAnsi="Times New Roman"/>
          <w:spacing w:val="0"/>
          <w:u w:color="000000"/>
          <w:rtl w:val="0"/>
          <w:lang w:val="en-US"/>
          <w14:textOutline w14:w="12700" w14:cap="flat">
            <w14:noFill/>
            <w14:miter w14:lim="400000"/>
          </w14:textOutline>
        </w:rPr>
        <w:t xml:space="preserve"> </w:t>
      </w:r>
      <w:r>
        <w:rPr>
          <w:rFonts w:ascii="Times New Roman" w:hAnsi="Times New Roman"/>
          <w:spacing w:val="0"/>
          <w:u w:color="000000"/>
          <w:rtl w:val="0"/>
          <w:lang w:val="en-US"/>
          <w14:textOutline w14:w="12700" w14:cap="flat">
            <w14:noFill/>
            <w14:miter w14:lim="400000"/>
          </w14:textOutline>
        </w:rPr>
        <w:t xml:space="preserve">curriculum </w:t>
      </w:r>
      <w:r>
        <w:rPr>
          <w:rFonts w:ascii="Times New Roman" w:hAnsi="Times New Roman"/>
          <w:spacing w:val="0"/>
          <w:u w:color="000000"/>
          <w:rtl w:val="0"/>
          <w:lang w:val="en-US"/>
          <w14:textOutline w14:w="12700" w14:cap="flat">
            <w14:noFill/>
            <w14:miter w14:lim="400000"/>
          </w14:textOutline>
        </w:rPr>
        <w:t>and a means for objectively determining successful knowledge</w:t>
      </w:r>
      <w:r>
        <w:rPr>
          <w:rFonts w:ascii="Times New Roman" w:hAnsi="Times New Roman"/>
          <w:spacing w:val="0"/>
          <w:u w:color="000000"/>
          <w:rtl w:val="0"/>
          <w:lang w:val="en-US"/>
          <w14:textOutline w14:w="12700" w14:cap="flat">
            <w14:noFill/>
            <w14:miter w14:lim="400000"/>
          </w14:textOutline>
        </w:rPr>
        <w:t xml:space="preserve"> and </w:t>
      </w:r>
      <w:r>
        <w:rPr>
          <w:rFonts w:ascii="Times New Roman" w:hAnsi="Times New Roman"/>
          <w:spacing w:val="0"/>
          <w:u w:color="000000"/>
          <w:rtl w:val="0"/>
          <w:lang w:val="en-US"/>
          <w14:textOutline w14:w="12700" w14:cap="flat">
            <w14:noFill/>
            <w14:miter w14:lim="400000"/>
          </w14:textOutline>
        </w:rPr>
        <w:t>skill acquisition.</w:t>
      </w:r>
    </w:p>
    <w:p>
      <w:pPr>
        <w:pStyle w:val="Body"/>
        <w:bidi w:val="0"/>
        <w:spacing w:after="160" w:line="259" w:lineRule="auto"/>
        <w:ind w:left="0" w:right="0" w:firstLine="0"/>
        <w:jc w:val="left"/>
        <w:rPr>
          <w:rFonts w:ascii="Times New Roman" w:cs="Times New Roman" w:hAnsi="Times New Roman" w:eastAsia="Times New Roman"/>
          <w:b w:val="1"/>
          <w:bCs w:val="1"/>
          <w:spacing w:val="0"/>
          <w:sz w:val="32"/>
          <w:szCs w:val="32"/>
          <w:u w:color="000000"/>
          <w:rtl w:val="0"/>
        </w:rPr>
      </w:pPr>
      <w:r>
        <w:rPr>
          <w:rFonts w:ascii="Times New Roman" w:hAnsi="Times New Roman"/>
          <w:b w:val="1"/>
          <w:bCs w:val="1"/>
          <w:spacing w:val="0"/>
          <w:sz w:val="32"/>
          <w:szCs w:val="32"/>
          <w:u w:color="000000"/>
          <w:rtl w:val="0"/>
          <w:lang w:val="en-US"/>
        </w:rPr>
        <w:t>Biography:</w:t>
      </w:r>
      <w:r>
        <w:rPr>
          <w:rFonts w:ascii="Times New Roman" w:cs="Times New Roman" w:hAnsi="Times New Roman" w:eastAsia="Times New Roman"/>
          <w:b w:val="1"/>
          <w:bCs w:val="1"/>
          <w:spacing w:val="0"/>
          <w:sz w:val="32"/>
          <w:szCs w:val="32"/>
          <w:u w:color="000000"/>
          <w:rtl w:val="0"/>
        </w:rPr>
        <w:drawing xmlns:a="http://schemas.openxmlformats.org/drawingml/2006/main">
          <wp:anchor distT="152400" distB="152400" distL="152400" distR="152400" simplePos="0" relativeHeight="251659264" behindDoc="0" locked="0" layoutInCell="1" allowOverlap="1">
            <wp:simplePos x="0" y="0"/>
            <wp:positionH relativeFrom="margin">
              <wp:posOffset>4587825</wp:posOffset>
            </wp:positionH>
            <wp:positionV relativeFrom="line">
              <wp:posOffset>323517</wp:posOffset>
            </wp:positionV>
            <wp:extent cx="1482529" cy="2598468"/>
            <wp:effectExtent l="0" t="0" r="0" b="0"/>
            <wp:wrapThrough wrapText="bothSides" distL="152400" distR="152400">
              <wp:wrapPolygon edited="1">
                <wp:start x="0" y="0"/>
                <wp:lineTo x="21600" y="0"/>
                <wp:lineTo x="21600" y="21600"/>
                <wp:lineTo x="0" y="21600"/>
                <wp:lineTo x="0" y="0"/>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1482529" cy="2598468"/>
                    </a:xfrm>
                    <a:prstGeom prst="rect">
                      <a:avLst/>
                    </a:prstGeom>
                    <a:ln w="12700" cap="flat">
                      <a:noFill/>
                      <a:miter lim="400000"/>
                    </a:ln>
                    <a:effectLst/>
                  </pic:spPr>
                </pic:pic>
              </a:graphicData>
            </a:graphic>
          </wp:anchor>
        </w:drawing>
      </w:r>
    </w:p>
    <w:p>
      <w:pPr>
        <w:keepNext w:val="0"/>
        <w:keepLines w:val="0"/>
        <w:pageBreakBefore w:val="0"/>
        <w:widowControl w:val="1"/>
        <w:shd w:val="clear" w:color="auto" w:fill="auto"/>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suppressAutoHyphens w:val="0"/>
        <w:bidi w:val="0"/>
        <w:spacing w:before="0" w:after="0" w:line="240" w:lineRule="auto"/>
        <w:ind w:left="0" w:right="0" w:firstLine="0"/>
        <w:jc w:val="both"/>
        <w:outlineLvl w:val="9"/>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Laurel A Seltzer is a second year medical student at Tulane University School of Medicine (TUSOM) in New Orleans, Louisiana, USA. She completed her undergraduate studies at Tulane University, earning a Bachelor of Science in Public Health and Tropical Medicine. Her r</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esearch ha</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s included studies within the clinical context of neurosurgery at TUSOM, and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clinical trials for chemotherapeutic agents for glioblastoma, malignant meningioma, and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brain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metastasis</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at Oschner Medical Center</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Through Weill Cornell Medical College, she has pursued research in neurosurgical education for medical students. The broad scope of neurotrauma and traumatic brain injury have been additional areas of scientific study and collaboration with her peers at Cornell Medical College, Robert Wood Johnson Medical School, and Rutgers New Jersey Medical School.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As an active member of the AANS Research Group Chapter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and Program Coordinator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at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TUSOM</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 xml:space="preserve">, </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she also engages in joint research with her Tulane colleagues as well as laboratory research in TUSOM</w:t>
      </w:r>
      <w:r>
        <w:rPr>
          <w:rFonts w:ascii="Times New Roman" w:cs="Arial Unicode MS" w:hAnsi="Times New Roman"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w:t>
      </w: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noFill/>
          </w14:textOutline>
          <w14:textFill>
            <w14:solidFill>
              <w14:srgbClr w14:val="000000"/>
            </w14:solidFill>
          </w14:textFill>
        </w:rPr>
        <w:t>s Neurosurgical Department.</w:t>
      </w:r>
    </w:p>
    <w:p>
      <w:pPr>
        <w:keepNext w:val="0"/>
        <w:keepLines w:val="0"/>
        <w:pageBreakBefore w:val="0"/>
        <w:widowControl w:val="1"/>
        <w:shd w:val="clear" w:color="auto" w:fill="auto"/>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suppressAutoHyphens w:val="0"/>
        <w:bidi w:val="0"/>
        <w:spacing w:before="0" w:after="0" w:line="240" w:lineRule="auto"/>
        <w:ind w:left="0" w:right="0" w:firstLine="0"/>
        <w:jc w:val="left"/>
        <w:outlineLvl w:val="9"/>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noFill/>
          </w14:textOutline>
          <w14:textFill>
            <w14:solidFill>
              <w14:srgbClr w14:val="000000"/>
            </w14:solidFill>
          </w14:textFill>
        </w:rPr>
      </w:pPr>
    </w:p>
    <w:p>
      <w:pPr>
        <w:pStyle w:val="Body"/>
        <w:bidi w:val="0"/>
        <w:spacing w:after="160" w:line="259" w:lineRule="auto"/>
        <w:ind w:left="0" w:right="0" w:firstLine="0"/>
        <w:jc w:val="left"/>
        <w:rPr>
          <w:rFonts w:ascii="Times New Roman" w:cs="Times New Roman" w:hAnsi="Times New Roman" w:eastAsia="Times New Roman"/>
          <w:b w:val="1"/>
          <w:bCs w:val="1"/>
          <w:spacing w:val="0"/>
          <w:sz w:val="32"/>
          <w:szCs w:val="32"/>
          <w:u w:color="000000"/>
          <w:rtl w:val="0"/>
        </w:rPr>
      </w:pPr>
      <w:r>
        <w:rPr>
          <w:rFonts w:ascii="Times New Roman" w:hAnsi="Times New Roman"/>
          <w:b w:val="1"/>
          <w:bCs w:val="1"/>
          <w:spacing w:val="0"/>
          <w:sz w:val="32"/>
          <w:szCs w:val="32"/>
          <w:u w:color="000000"/>
          <w:rtl w:val="0"/>
          <w:lang w:val="en-US"/>
        </w:rPr>
        <w:t>R</w:t>
      </w:r>
      <w:r>
        <w:rPr>
          <w:rFonts w:ascii="Times New Roman" w:hAnsi="Times New Roman"/>
          <w:b w:val="1"/>
          <w:bCs w:val="1"/>
          <w:spacing w:val="0"/>
          <w:sz w:val="32"/>
          <w:szCs w:val="32"/>
          <w:u w:color="000000"/>
          <w:rtl w:val="0"/>
          <w:lang w:val="fr-FR"/>
        </w:rPr>
        <w:t>eferences</w:t>
      </w:r>
      <w:r>
        <w:rPr>
          <w:rFonts w:ascii="Times New Roman" w:hAnsi="Times New Roman"/>
          <w:b w:val="1"/>
          <w:bCs w:val="1"/>
          <w:spacing w:val="0"/>
          <w:sz w:val="32"/>
          <w:szCs w:val="32"/>
          <w:u w:color="000000"/>
          <w:rtl w:val="0"/>
          <w:lang w:val="en-US"/>
        </w:rPr>
        <w:t>:</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Agarwal N, Norrm</w:t>
      </w:r>
      <w:r>
        <w:rPr>
          <w:rFonts w:ascii="Times New Roman" w:hAnsi="Times New Roman" w:hint="default"/>
          <w:u w:color="000000"/>
          <w:rtl w:val="0"/>
          <w:lang w:val="en-US"/>
        </w:rPr>
        <w:t>é</w:t>
      </w:r>
      <w:r>
        <w:rPr>
          <w:rFonts w:ascii="Times New Roman" w:hAnsi="Times New Roman"/>
          <w:u w:color="000000"/>
          <w:rtl w:val="0"/>
          <w:lang w:val="en-US"/>
        </w:rPr>
        <w:t>n-Smith IO, Tomei KL, Prestigiacomo CJ, Gandhi CD. Improving Medical Student Recruitment into Neurological Surgery: A Single Institution's Experience. World Neurosurgery. 2013/12/01/ 2013;80(6):745-750. doi:https://doi.org/10.1016/j.wneu.2013.08.027</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Awad AJ, Sarkiss CA, Kellner CP, et al. Impact of Neurosurgery Medical Student Research Grants on Neurosurgery Residency Choice. World Neurosurgery. 2016/08/01/ 2016;92:349-352. doi:https://doi.org/10.1016/j.wneu.2016.05.029</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Burford C, Hanrahan J, Ansaripour A, Smith B, Sysum K, Rajwani K, Huett M, Vergani F, Zebian B. Factors Influencing Medical Student Interest in a Career in Neurosurgery. World Neurosurg. 2019 Feb;122:e367-e374. doi: 10.1016/j.wneu.2018.10.056. Epub 2018 Oct 16. PMID: 30336295.</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Evans AL, Bulla AJ, Kieta AR. The Precision Teaching System: A Synthesized Definition, Concept Analysis, and Process. Behavior Analysis in Practice. 2021/09/01 2021;14(3):559-576. doi:10.1007/s40617-020-00502-2</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Kubina, R. (2021). SPLED 509A Assessment and Decision Making: Behavioral Objectives [PowerPoint slides]. Penn State.</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Lee KS, Zhang JJY, Alamri A, Chari A. Neurosurgery Education in the Medical School Curriculum: A Scoping Review. World Neurosurgery. 2020/12/01/ 2020;144:e631-e642. doi:https://doi.org/10.1016/j.wneu.2020.09.015</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Lydon, S., Reid McDermott, B., Ryan, E. et al. Can simulation-based education and precision teaching improve paediatric trainees</w:t>
      </w:r>
      <w:r>
        <w:rPr>
          <w:rFonts w:ascii="Times New Roman" w:hAnsi="Times New Roman" w:hint="default"/>
          <w:u w:color="000000"/>
          <w:rtl w:val="0"/>
          <w:lang w:val="en-US"/>
        </w:rPr>
        <w:t xml:space="preserve">’ </w:t>
      </w:r>
      <w:r>
        <w:rPr>
          <w:rFonts w:ascii="Times New Roman" w:hAnsi="Times New Roman"/>
          <w:u w:color="000000"/>
          <w:rtl w:val="0"/>
          <w:lang w:val="en-US"/>
        </w:rPr>
        <w:t>behavioural fluency in performing lumbar puncture? A pilot study. BMC Med Educ 19, 138 (2019). https://doi.org/10.1186/s12909-019-1553-7</w:t>
      </w:r>
    </w:p>
    <w:p>
      <w:pPr>
        <w:pStyle w:val="Default"/>
        <w:numPr>
          <w:ilvl w:val="0"/>
          <w:numId w:val="2"/>
        </w:numPr>
        <w:spacing w:before="0" w:after="160" w:line="259" w:lineRule="auto"/>
        <w:jc w:val="left"/>
        <w:rPr>
          <w:rFonts w:ascii="Times New Roman" w:hAnsi="Times New Roman"/>
          <w:u w:color="000000"/>
          <w:lang w:val="en-US"/>
        </w:rPr>
      </w:pPr>
      <w:r>
        <w:rPr>
          <w:rFonts w:ascii="Times New Roman" w:hAnsi="Times New Roman"/>
          <w:u w:color="000000"/>
          <w:rtl w:val="0"/>
          <w:lang w:val="en-US"/>
        </w:rPr>
        <w:t>McGrath C, McCourt C, Corry A, Dounavi K, Dillenburger K, Gormley G. The use of 'Precision Teaching' in enhancing medical students? dermatological diagnostic skills [version 1]. MedEdPublish. 2018;7(91)doi:10.15694/mep.2018.0000091.1</w:t>
      </w:r>
    </w:p>
    <w:sectPr>
      <w:headerReference w:type="default" r:id="rId5"/>
      <w:footerReference w:type="default" r:id="rId6"/>
      <w:pgSz w:w="12240" w:h="15840" w:orient="portrait"/>
      <w:pgMar w:top="1440" w:right="1440" w:bottom="1440" w:left="1440" w:header="500" w:footer="36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s>
      <w:jc w:val="left"/>
    </w:pPr>
    <w:r>
      <w:rPr/>
      <w:fldChar w:fldCharType="begin" w:fldLock="0"/>
    </w:r>
    <w:r>
      <w:instrText xml:space="preserve"> PAGE </w:instrText>
    </w:r>
    <w:r>
      <w:rPr/>
      <w:fldChar w:fldCharType="separate" w:fldLock="0"/>
    </w:r>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37" w:hanging="377"/>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1">
      <w:start w:val="1"/>
      <w:numFmt w:val="lowerLetter"/>
      <w:suff w:val="tab"/>
      <w:lvlText w:val="%2."/>
      <w:lvlJc w:val="left"/>
      <w:pPr>
        <w:ind w:left="1491" w:hanging="411"/>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2">
      <w:start w:val="1"/>
      <w:numFmt w:val="lowerRoman"/>
      <w:suff w:val="tab"/>
      <w:lvlText w:val="%3."/>
      <w:lvlJc w:val="left"/>
      <w:pPr>
        <w:ind w:left="2202" w:hanging="333"/>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3">
      <w:start w:val="1"/>
      <w:numFmt w:val="decimal"/>
      <w:suff w:val="tab"/>
      <w:lvlText w:val="%4."/>
      <w:lvlJc w:val="left"/>
      <w:pPr>
        <w:ind w:left="2931" w:hanging="411"/>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4">
      <w:start w:val="1"/>
      <w:numFmt w:val="lowerLetter"/>
      <w:suff w:val="tab"/>
      <w:lvlText w:val="%5."/>
      <w:lvlJc w:val="left"/>
      <w:pPr>
        <w:ind w:left="3651" w:hanging="411"/>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5">
      <w:start w:val="1"/>
      <w:numFmt w:val="lowerRoman"/>
      <w:suff w:val="tab"/>
      <w:lvlText w:val="%6."/>
      <w:lvlJc w:val="left"/>
      <w:pPr>
        <w:ind w:left="4362" w:hanging="333"/>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6">
      <w:start w:val="1"/>
      <w:numFmt w:val="decimal"/>
      <w:suff w:val="tab"/>
      <w:lvlText w:val="%7."/>
      <w:lvlJc w:val="left"/>
      <w:pPr>
        <w:ind w:left="5091" w:hanging="411"/>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7">
      <w:start w:val="1"/>
      <w:numFmt w:val="lowerLetter"/>
      <w:suff w:val="tab"/>
      <w:lvlText w:val="%8."/>
      <w:lvlJc w:val="left"/>
      <w:pPr>
        <w:ind w:left="5811" w:hanging="411"/>
      </w:pPr>
      <w:rPr>
        <w:rFonts w:hAnsi="Arial Unicode MS"/>
        <w:caps w:val="0"/>
        <w:smallCaps w:val="0"/>
        <w:strike w:val="0"/>
        <w:dstrike w:val="0"/>
        <w:outline w:val="0"/>
        <w:emboss w:val="0"/>
        <w:imprint w:val="0"/>
        <w:spacing w:val="0"/>
        <w:w w:val="100"/>
        <w:kern w:val="0"/>
        <w:position w:val="0"/>
        <w:sz w:val="25"/>
        <w:szCs w:val="25"/>
        <w:highlight w:val="none"/>
        <w:vertAlign w:val="baseline"/>
      </w:rPr>
    </w:lvl>
    <w:lvl w:ilvl="8">
      <w:start w:val="1"/>
      <w:numFmt w:val="lowerRoman"/>
      <w:suff w:val="tab"/>
      <w:lvlText w:val="%9."/>
      <w:lvlJc w:val="left"/>
      <w:pPr>
        <w:ind w:left="6522" w:hanging="333"/>
      </w:pPr>
      <w:rPr>
        <w:rFonts w:hAnsi="Arial Unicode MS"/>
        <w:caps w:val="0"/>
        <w:smallCaps w:val="0"/>
        <w:strike w:val="0"/>
        <w:dstrike w:val="0"/>
        <w:outline w:val="0"/>
        <w:emboss w:val="0"/>
        <w:imprint w:val="0"/>
        <w:spacing w:val="0"/>
        <w:w w:val="100"/>
        <w:kern w:val="0"/>
        <w:position w:val="0"/>
        <w:sz w:val="25"/>
        <w:szCs w:val="25"/>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80" w:line="264" w:lineRule="auto"/>
      <w:ind w:left="0" w:right="0" w:firstLine="0"/>
      <w:jc w:val="left"/>
      <w:outlineLvl w:val="1"/>
    </w:pPr>
    <w:rPr>
      <w:rFonts w:ascii="Helvetica Neue Medium" w:cs="Arial Unicode MS" w:hAnsi="Helvetica Neue Medium" w:eastAsia="Arial Unicode MS"/>
      <w:b w:val="0"/>
      <w:bCs w:val="0"/>
      <w:i w:val="0"/>
      <w:iCs w:val="0"/>
      <w:caps w:val="0"/>
      <w:smallCaps w:val="0"/>
      <w:strike w:val="0"/>
      <w:dstrike w:val="0"/>
      <w:outline w:val="0"/>
      <w:color w:val="000000"/>
      <w:spacing w:val="3"/>
      <w:kern w:val="0"/>
      <w:position w:val="0"/>
      <w:sz w:val="32"/>
      <w:szCs w:val="32"/>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40" w:line="264"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7"/>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21_Contemporary_Report">
  <a:themeElements>
    <a:clrScheme name="21_Contemporary_Report">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21_Contemporary_Report">
      <a:majorFont>
        <a:latin typeface="Helvetica Neue"/>
        <a:ea typeface="Helvetica Neue"/>
        <a:cs typeface="Helvetica Neue"/>
      </a:majorFont>
      <a:minorFont>
        <a:latin typeface="Helvetica Neue Medium"/>
        <a:ea typeface="Helvetica Neue Medium"/>
        <a:cs typeface="Helvetica Neue Medium"/>
      </a:minorFont>
    </a:fontScheme>
    <a:fmtScheme name="21_Contemporary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10000"/>
          </a:lnSpc>
          <a:spcBef>
            <a:spcPts val="1200"/>
          </a:spcBef>
          <a:spcAft>
            <a:spcPts val="0"/>
          </a:spcAft>
          <a:buClrTx/>
          <a:buSzTx/>
          <a:buFontTx/>
          <a:buNone/>
          <a:tabLst/>
          <a:defRPr b="0" baseline="0" cap="none" i="0" spc="36" strike="noStrike" sz="1200" u="none" kumimoji="0" normalizeH="0">
            <a:ln>
              <a:noFill/>
            </a:ln>
            <a:solidFill>
              <a:srgbClr val="000000"/>
            </a:solidFill>
            <a:effectLst/>
            <a:uFillTx/>
            <a:latin typeface="+mj-lt"/>
            <a:ea typeface="+mj-ea"/>
            <a:cs typeface="+mj-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