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1CD4" w:rsidRPr="008B311C" w:rsidRDefault="008B311C" w:rsidP="00391CD4">
      <w:pPr>
        <w:pStyle w:val="1"/>
        <w:spacing w:before="170"/>
        <w:rPr>
          <w:color w:val="4F81BD" w:themeColor="accent1"/>
        </w:rPr>
      </w:pPr>
      <w:r w:rsidRPr="008B311C">
        <w:rPr>
          <w:rFonts w:hint="eastAsia"/>
          <w:color w:val="4F81BD" w:themeColor="accent1"/>
          <w:szCs w:val="24"/>
        </w:rPr>
        <w:t xml:space="preserve">Imaging flow cytometry </w:t>
      </w:r>
      <w:r w:rsidRPr="008B311C">
        <w:rPr>
          <w:color w:val="4F81BD" w:themeColor="accent1"/>
          <w:szCs w:val="24"/>
        </w:rPr>
        <w:t>for identifying</w:t>
      </w:r>
      <w:r w:rsidRPr="008B311C">
        <w:rPr>
          <w:rFonts w:hint="eastAsia"/>
          <w:color w:val="4F81BD" w:themeColor="accent1"/>
          <w:szCs w:val="24"/>
        </w:rPr>
        <w:t xml:space="preserve"> </w:t>
      </w:r>
      <w:r w:rsidRPr="008B311C">
        <w:rPr>
          <w:color w:val="4F81BD" w:themeColor="accent1"/>
          <w:szCs w:val="24"/>
        </w:rPr>
        <w:t>differences</w:t>
      </w:r>
      <w:r w:rsidRPr="008B311C">
        <w:rPr>
          <w:rFonts w:hint="eastAsia"/>
          <w:color w:val="4F81BD" w:themeColor="accent1"/>
          <w:szCs w:val="24"/>
        </w:rPr>
        <w:t xml:space="preserve"> </w:t>
      </w:r>
      <w:r w:rsidRPr="008B311C">
        <w:rPr>
          <w:color w:val="4F81BD" w:themeColor="accent1"/>
          <w:szCs w:val="24"/>
        </w:rPr>
        <w:t xml:space="preserve">in </w:t>
      </w:r>
      <w:r w:rsidRPr="008B311C">
        <w:rPr>
          <w:rFonts w:hint="eastAsia"/>
          <w:color w:val="4F81BD" w:themeColor="accent1"/>
          <w:szCs w:val="24"/>
        </w:rPr>
        <w:t>SMN protein expression</w:t>
      </w:r>
      <w:r w:rsidRPr="008B311C">
        <w:rPr>
          <w:color w:val="4F81BD" w:themeColor="accent1"/>
          <w:szCs w:val="24"/>
        </w:rPr>
        <w:t xml:space="preserve"> </w:t>
      </w:r>
      <w:bookmarkStart w:id="0" w:name="_Hlk485918914"/>
      <w:r w:rsidRPr="008B311C">
        <w:rPr>
          <w:color w:val="4F81BD" w:themeColor="accent1"/>
          <w:szCs w:val="24"/>
        </w:rPr>
        <w:t>between</w:t>
      </w:r>
      <w:r w:rsidRPr="008B311C">
        <w:rPr>
          <w:rFonts w:hint="eastAsia"/>
          <w:color w:val="4F81BD" w:themeColor="accent1"/>
          <w:szCs w:val="24"/>
        </w:rPr>
        <w:t xml:space="preserve"> spinal muscular atrophy</w:t>
      </w:r>
      <w:r w:rsidRPr="008B311C">
        <w:rPr>
          <w:color w:val="4F81BD" w:themeColor="accent1"/>
          <w:szCs w:val="24"/>
        </w:rPr>
        <w:t xml:space="preserve"> patients and normal subjects</w:t>
      </w:r>
    </w:p>
    <w:bookmarkEnd w:id="0"/>
    <w:p w:rsidR="00137E9C" w:rsidRDefault="00995110" w:rsidP="00646707">
      <w:pPr>
        <w:pStyle w:val="a3"/>
        <w:spacing w:before="73" w:line="198" w:lineRule="exact"/>
        <w:ind w:leftChars="100" w:left="220" w:right="5987"/>
        <w:rPr>
          <w:rFonts w:ascii="Arial"/>
          <w:lang w:eastAsia="ja-JP"/>
        </w:rPr>
      </w:pPr>
      <w:r>
        <w:rPr>
          <w:rFonts w:ascii="Arial"/>
        </w:rPr>
        <w:t>Reiko Arakawa MD, PhD,</w:t>
      </w:r>
      <w:r w:rsidRPr="00137E9C">
        <w:rPr>
          <w:rFonts w:ascii="Arial"/>
        </w:rPr>
        <w:t xml:space="preserve"> </w:t>
      </w:r>
      <w:r w:rsidR="005C463A" w:rsidRPr="00137E9C">
        <w:rPr>
          <w:rFonts w:ascii="Arial" w:hAnsi="Arial" w:cs="Arial"/>
        </w:rPr>
        <w:t>Institute of Medical Genetics</w:t>
      </w:r>
      <w:r w:rsidR="00137E9C">
        <w:rPr>
          <w:rFonts w:ascii="Arial" w:hAnsi="Arial" w:cs="Arial"/>
        </w:rPr>
        <w:t>,</w:t>
      </w:r>
      <w:r w:rsidR="005C463A">
        <w:rPr>
          <w:rFonts w:ascii="Arial"/>
        </w:rPr>
        <w:t xml:space="preserve"> </w:t>
      </w:r>
      <w:r>
        <w:rPr>
          <w:rFonts w:ascii="Arial"/>
        </w:rPr>
        <w:t>Tokyo Women</w:t>
      </w:r>
      <w:r>
        <w:rPr>
          <w:rFonts w:ascii="Arial"/>
        </w:rPr>
        <w:t>’</w:t>
      </w:r>
      <w:r>
        <w:rPr>
          <w:rFonts w:ascii="Arial"/>
        </w:rPr>
        <w:t>s Medical University Japan,</w:t>
      </w:r>
      <w:r w:rsidR="0082191B" w:rsidRPr="0082191B">
        <w:rPr>
          <w:rFonts w:ascii="Arial"/>
          <w:lang w:eastAsia="ja-JP"/>
        </w:rPr>
        <w:t xml:space="preserve"> </w:t>
      </w:r>
    </w:p>
    <w:p w:rsidR="00137E9C" w:rsidRDefault="0082191B" w:rsidP="00646707">
      <w:pPr>
        <w:pStyle w:val="a3"/>
        <w:spacing w:before="73" w:line="198" w:lineRule="exact"/>
        <w:ind w:leftChars="100" w:left="220" w:right="5987"/>
        <w:rPr>
          <w:rFonts w:ascii="Arial"/>
        </w:rPr>
      </w:pPr>
      <w:r>
        <w:rPr>
          <w:rFonts w:ascii="Arial"/>
          <w:lang w:eastAsia="ja-JP"/>
        </w:rPr>
        <w:t xml:space="preserve">Masayuki Arakawa PhD, </w:t>
      </w:r>
      <w:r>
        <w:rPr>
          <w:rFonts w:ascii="Arial"/>
        </w:rPr>
        <w:t>Microbial Chemistry Research</w:t>
      </w:r>
      <w:r>
        <w:rPr>
          <w:rFonts w:asciiTheme="minorEastAsia" w:eastAsiaTheme="minorEastAsia" w:hAnsiTheme="minorEastAsia"/>
          <w:lang w:eastAsia="ja-JP"/>
        </w:rPr>
        <w:t xml:space="preserve"> </w:t>
      </w:r>
      <w:r>
        <w:rPr>
          <w:rFonts w:ascii="Arial"/>
        </w:rPr>
        <w:t xml:space="preserve">Foundation (BIKAKEN) Japan, </w:t>
      </w:r>
      <w:r w:rsidR="00995110">
        <w:rPr>
          <w:rFonts w:ascii="Arial"/>
        </w:rPr>
        <w:t xml:space="preserve"> </w:t>
      </w:r>
    </w:p>
    <w:p w:rsidR="00AE3E37" w:rsidRPr="00646707" w:rsidRDefault="00995110" w:rsidP="00646707">
      <w:pPr>
        <w:pStyle w:val="a3"/>
        <w:spacing w:before="73" w:line="198" w:lineRule="exact"/>
        <w:ind w:leftChars="100" w:left="220" w:right="5987"/>
        <w:rPr>
          <w:rFonts w:ascii="Arial"/>
        </w:rPr>
      </w:pPr>
      <w:r>
        <w:rPr>
          <w:rFonts w:ascii="Arial"/>
        </w:rPr>
        <w:t>Kayoko Saito MD, PhD</w:t>
      </w:r>
      <w:r w:rsidR="00137E9C">
        <w:rPr>
          <w:rFonts w:ascii="Arial"/>
        </w:rPr>
        <w:t>,</w:t>
      </w:r>
      <w:r w:rsidR="00137E9C" w:rsidRPr="00137E9C">
        <w:rPr>
          <w:rFonts w:ascii="Arial"/>
        </w:rPr>
        <w:t xml:space="preserve"> </w:t>
      </w:r>
      <w:r w:rsidR="00137E9C" w:rsidRPr="00137E9C">
        <w:rPr>
          <w:rFonts w:ascii="Arial" w:hAnsi="Arial" w:cs="Arial"/>
        </w:rPr>
        <w:t xml:space="preserve">Institute of Medical </w:t>
      </w:r>
      <w:proofErr w:type="gramStart"/>
      <w:r w:rsidR="00137E9C" w:rsidRPr="00137E9C">
        <w:rPr>
          <w:rFonts w:ascii="Arial" w:hAnsi="Arial" w:cs="Arial"/>
        </w:rPr>
        <w:t>Genetics</w:t>
      </w:r>
      <w:r w:rsidR="00137E9C">
        <w:rPr>
          <w:rFonts w:ascii="Arial" w:hAnsi="Arial" w:cs="Arial"/>
        </w:rPr>
        <w:t>,</w:t>
      </w:r>
      <w:r w:rsidR="00137E9C">
        <w:rPr>
          <w:rFonts w:ascii="Arial"/>
        </w:rPr>
        <w:t xml:space="preserve"> </w:t>
      </w:r>
      <w:r>
        <w:rPr>
          <w:rFonts w:ascii="Arial"/>
        </w:rPr>
        <w:t xml:space="preserve"> </w:t>
      </w:r>
      <w:r w:rsidR="00137E9C">
        <w:rPr>
          <w:rFonts w:ascii="Arial"/>
        </w:rPr>
        <w:t>Tokyo</w:t>
      </w:r>
      <w:proofErr w:type="gramEnd"/>
      <w:r w:rsidR="00137E9C">
        <w:rPr>
          <w:rFonts w:ascii="Arial"/>
        </w:rPr>
        <w:t xml:space="preserve"> </w:t>
      </w:r>
      <w:r>
        <w:rPr>
          <w:rFonts w:ascii="Arial"/>
        </w:rPr>
        <w:t>Women</w:t>
      </w:r>
      <w:r>
        <w:rPr>
          <w:rFonts w:ascii="Arial"/>
        </w:rPr>
        <w:t>’</w:t>
      </w:r>
      <w:r>
        <w:rPr>
          <w:rFonts w:ascii="Arial"/>
        </w:rPr>
        <w:t>s Medical University Japan</w:t>
      </w:r>
    </w:p>
    <w:p w:rsidR="00AE3E37" w:rsidRDefault="00AE3E37">
      <w:pPr>
        <w:rPr>
          <w:rFonts w:ascii="Arial"/>
          <w:sz w:val="21"/>
        </w:rPr>
      </w:pPr>
    </w:p>
    <w:p w:rsidR="0058702C" w:rsidRDefault="0058702C">
      <w:pPr>
        <w:rPr>
          <w:rFonts w:ascii="Arial"/>
          <w:sz w:val="21"/>
        </w:rPr>
        <w:sectPr w:rsidR="0058702C">
          <w:headerReference w:type="default" r:id="rId7"/>
          <w:footerReference w:type="default" r:id="rId8"/>
          <w:type w:val="continuous"/>
          <w:pgSz w:w="11910" w:h="16840"/>
          <w:pgMar w:top="1740" w:right="600" w:bottom="840" w:left="620" w:header="541" w:footer="642" w:gutter="0"/>
          <w:cols w:space="720"/>
        </w:sectPr>
      </w:pPr>
    </w:p>
    <w:p w:rsidR="00D04FCD" w:rsidRPr="0058702C" w:rsidRDefault="009D20E0" w:rsidP="00D04FCD">
      <w:pPr>
        <w:pStyle w:val="2"/>
        <w:rPr>
          <w:sz w:val="20"/>
          <w:szCs w:val="20"/>
        </w:rPr>
      </w:pPr>
      <w:r w:rsidRPr="0058702C">
        <w:rPr>
          <w:b/>
          <w:sz w:val="20"/>
          <w:szCs w:val="20"/>
        </w:rPr>
        <w:t>Background:</w:t>
      </w:r>
      <w:r w:rsidRPr="0058702C">
        <w:rPr>
          <w:sz w:val="20"/>
          <w:szCs w:val="20"/>
        </w:rPr>
        <w:t xml:space="preserve"> </w:t>
      </w:r>
      <w:r w:rsidR="00D04FCD" w:rsidRPr="0058702C">
        <w:rPr>
          <w:rFonts w:hint="eastAsia"/>
          <w:sz w:val="20"/>
          <w:szCs w:val="20"/>
        </w:rPr>
        <w:t>Childhood spinal muscular atrophy (SMA) is a common autosomal recessive disorder caused by mutations of the survival motor neuron 1 (</w:t>
      </w:r>
      <w:r w:rsidR="00D04FCD" w:rsidRPr="0058702C">
        <w:rPr>
          <w:rFonts w:hint="eastAsia"/>
          <w:i/>
          <w:iCs/>
          <w:sz w:val="20"/>
          <w:szCs w:val="20"/>
        </w:rPr>
        <w:t>SMN 1</w:t>
      </w:r>
      <w:r w:rsidR="00D04FCD" w:rsidRPr="0058702C">
        <w:rPr>
          <w:rFonts w:hint="eastAsia"/>
          <w:sz w:val="20"/>
          <w:szCs w:val="20"/>
        </w:rPr>
        <w:t xml:space="preserve">) gene, leading to progressive muscle weakness.  A major goal of disease-modifying therapy is to increase SMN protein expression. There is a need for sensitive methods of quantifying SMN protein in accessible tissues. </w:t>
      </w:r>
      <w:r w:rsidR="00D04FCD" w:rsidRPr="0058702C">
        <w:rPr>
          <w:sz w:val="20"/>
          <w:szCs w:val="20"/>
        </w:rPr>
        <w:t xml:space="preserve"> </w:t>
      </w:r>
    </w:p>
    <w:p w:rsidR="00D04FCD" w:rsidRPr="0058702C" w:rsidRDefault="00D04FCD" w:rsidP="0078170E">
      <w:pPr>
        <w:pStyle w:val="2"/>
        <w:rPr>
          <w:sz w:val="20"/>
          <w:szCs w:val="20"/>
        </w:rPr>
      </w:pPr>
      <w:r w:rsidRPr="0058702C">
        <w:rPr>
          <w:rFonts w:hint="eastAsia"/>
          <w:sz w:val="20"/>
          <w:szCs w:val="20"/>
        </w:rPr>
        <w:t>We</w:t>
      </w:r>
      <w:r w:rsidRPr="0058702C">
        <w:rPr>
          <w:sz w:val="20"/>
          <w:szCs w:val="20"/>
        </w:rPr>
        <w:t xml:space="preserve"> tested the sensitivity and utility of imaging flow cytometry (IFC)</w:t>
      </w:r>
      <w:r w:rsidRPr="0058702C">
        <w:rPr>
          <w:rFonts w:hint="eastAsia"/>
          <w:sz w:val="20"/>
          <w:szCs w:val="20"/>
        </w:rPr>
        <w:t xml:space="preserve"> for</w:t>
      </w:r>
      <w:r w:rsidR="004B0E9A" w:rsidRPr="0058702C">
        <w:rPr>
          <w:b/>
          <w:bCs/>
          <w:color w:val="4F81BD" w:themeColor="accent1"/>
          <w:sz w:val="20"/>
          <w:szCs w:val="20"/>
        </w:rPr>
        <w:t xml:space="preserve"> </w:t>
      </w:r>
      <w:r w:rsidR="004B0E9A" w:rsidRPr="0058702C">
        <w:rPr>
          <w:bCs/>
          <w:sz w:val="20"/>
          <w:szCs w:val="20"/>
        </w:rPr>
        <w:t>identifying</w:t>
      </w:r>
      <w:r w:rsidR="004B0E9A" w:rsidRPr="0058702C">
        <w:rPr>
          <w:rFonts w:hint="eastAsia"/>
          <w:bCs/>
          <w:sz w:val="20"/>
          <w:szCs w:val="20"/>
        </w:rPr>
        <w:t xml:space="preserve"> </w:t>
      </w:r>
      <w:r w:rsidR="004B0E9A" w:rsidRPr="0058702C">
        <w:rPr>
          <w:bCs/>
          <w:sz w:val="20"/>
          <w:szCs w:val="20"/>
        </w:rPr>
        <w:t>differences</w:t>
      </w:r>
      <w:r w:rsidR="00C17B70" w:rsidRPr="0058702C">
        <w:rPr>
          <w:bCs/>
          <w:sz w:val="20"/>
          <w:szCs w:val="20"/>
        </w:rPr>
        <w:t xml:space="preserve"> </w:t>
      </w:r>
      <w:r w:rsidR="004B0E9A" w:rsidRPr="0058702C">
        <w:rPr>
          <w:bCs/>
          <w:sz w:val="20"/>
          <w:szCs w:val="20"/>
        </w:rPr>
        <w:t xml:space="preserve">in </w:t>
      </w:r>
      <w:r w:rsidR="0078170E" w:rsidRPr="0058702C">
        <w:rPr>
          <w:rFonts w:hint="eastAsia"/>
          <w:bCs/>
          <w:sz w:val="20"/>
          <w:szCs w:val="20"/>
        </w:rPr>
        <w:t>SMN protein expression</w:t>
      </w:r>
      <w:r w:rsidR="0078170E" w:rsidRPr="0058702C">
        <w:rPr>
          <w:bCs/>
          <w:sz w:val="20"/>
          <w:szCs w:val="20"/>
        </w:rPr>
        <w:t xml:space="preserve"> between</w:t>
      </w:r>
      <w:r w:rsidR="0078170E" w:rsidRPr="0058702C">
        <w:rPr>
          <w:rFonts w:hint="eastAsia"/>
          <w:bCs/>
          <w:sz w:val="20"/>
          <w:szCs w:val="20"/>
        </w:rPr>
        <w:t xml:space="preserve"> </w:t>
      </w:r>
      <w:r w:rsidR="0078170E" w:rsidRPr="0058702C">
        <w:rPr>
          <w:bCs/>
          <w:sz w:val="20"/>
          <w:szCs w:val="20"/>
        </w:rPr>
        <w:t>SMA patients and normal subject using</w:t>
      </w:r>
      <w:r w:rsidR="00B91D05" w:rsidRPr="0058702C">
        <w:rPr>
          <w:bCs/>
          <w:sz w:val="20"/>
          <w:szCs w:val="20"/>
        </w:rPr>
        <w:t xml:space="preserve"> cultured Epstein–Barr virus transformed B cells.</w:t>
      </w:r>
    </w:p>
    <w:p w:rsidR="00F2405E" w:rsidRPr="0058702C" w:rsidRDefault="009D20E0" w:rsidP="0078170E">
      <w:pPr>
        <w:pStyle w:val="2"/>
        <w:rPr>
          <w:rFonts w:ascii="Times New Roman" w:eastAsia="ＭＳ 明朝" w:hAnsi="Times New Roman" w:cs="Times New Roman"/>
          <w:b/>
          <w:color w:val="000000" w:themeColor="text1"/>
          <w:sz w:val="20"/>
          <w:szCs w:val="20"/>
          <w:lang w:eastAsia="ja-JP"/>
        </w:rPr>
      </w:pPr>
      <w:r w:rsidRPr="0058702C">
        <w:rPr>
          <w:b/>
          <w:sz w:val="20"/>
          <w:szCs w:val="20"/>
        </w:rPr>
        <w:t>Materials and methods:</w:t>
      </w:r>
      <w:r w:rsidR="00F2405E" w:rsidRPr="0058702C">
        <w:rPr>
          <w:rFonts w:ascii="Times New Roman" w:eastAsia="ＭＳ 明朝" w:hAnsi="Times New Roman" w:cs="Times New Roman"/>
          <w:b/>
          <w:color w:val="000000" w:themeColor="text1"/>
          <w:sz w:val="20"/>
          <w:szCs w:val="20"/>
          <w:lang w:eastAsia="ja-JP"/>
        </w:rPr>
        <w:t xml:space="preserve"> </w:t>
      </w:r>
      <w:r w:rsidR="00F2405E" w:rsidRPr="0058702C">
        <w:rPr>
          <w:sz w:val="20"/>
          <w:szCs w:val="20"/>
        </w:rPr>
        <w:t xml:space="preserve">Following the immortalization of peripheral blood lymphocytes from a human healthy control subject and 2 SMA type 1 patients with 2 and 3 copies of </w:t>
      </w:r>
      <w:r w:rsidR="00F2405E" w:rsidRPr="0058702C">
        <w:rPr>
          <w:i/>
          <w:sz w:val="20"/>
          <w:szCs w:val="20"/>
        </w:rPr>
        <w:t xml:space="preserve">SMN2, </w:t>
      </w:r>
      <w:r w:rsidR="00F2405E" w:rsidRPr="0058702C">
        <w:rPr>
          <w:sz w:val="20"/>
          <w:szCs w:val="20"/>
        </w:rPr>
        <w:t>respectively,</w:t>
      </w:r>
      <w:r w:rsidR="00F2405E" w:rsidRPr="0058702C">
        <w:rPr>
          <w:i/>
          <w:sz w:val="20"/>
          <w:szCs w:val="20"/>
        </w:rPr>
        <w:t xml:space="preserve"> </w:t>
      </w:r>
      <w:r w:rsidR="00F2405E" w:rsidRPr="0058702C">
        <w:rPr>
          <w:sz w:val="20"/>
          <w:szCs w:val="20"/>
        </w:rPr>
        <w:t>we utilized IFC analysis to identify significant differences in SMN expression. A bright detail intensity (BDI) analysis was used to investigate differences in the cellular localization of SMN protein.</w:t>
      </w:r>
    </w:p>
    <w:p w:rsidR="004A0EB2" w:rsidRPr="0058702C" w:rsidRDefault="009D20E0" w:rsidP="004A0EB2">
      <w:pPr>
        <w:pStyle w:val="2"/>
        <w:rPr>
          <w:bCs/>
          <w:sz w:val="20"/>
          <w:szCs w:val="20"/>
        </w:rPr>
      </w:pPr>
      <w:r w:rsidRPr="0058702C">
        <w:rPr>
          <w:sz w:val="20"/>
          <w:szCs w:val="20"/>
        </w:rPr>
        <w:t xml:space="preserve"> </w:t>
      </w:r>
      <w:r w:rsidRPr="0058702C">
        <w:rPr>
          <w:b/>
          <w:bCs/>
          <w:sz w:val="20"/>
          <w:szCs w:val="20"/>
        </w:rPr>
        <w:t>Results:</w:t>
      </w:r>
      <w:r w:rsidRPr="0058702C">
        <w:rPr>
          <w:bCs/>
          <w:sz w:val="20"/>
          <w:szCs w:val="20"/>
        </w:rPr>
        <w:t xml:space="preserve"> </w:t>
      </w:r>
      <w:r w:rsidR="004A0EB2" w:rsidRPr="0058702C">
        <w:rPr>
          <w:bCs/>
          <w:sz w:val="20"/>
          <w:szCs w:val="20"/>
        </w:rPr>
        <w:t xml:space="preserve">SMN expression was significantly decreased in SMA patient-derived cells relative to those derived from a healthy control subject. Moreover, SMN expression correlated with the clinical severity of SMA according to </w:t>
      </w:r>
      <w:r w:rsidR="004A0EB2" w:rsidRPr="0058702C">
        <w:rPr>
          <w:bCs/>
          <w:i/>
          <w:sz w:val="20"/>
          <w:szCs w:val="20"/>
        </w:rPr>
        <w:t>SMN2</w:t>
      </w:r>
      <w:r w:rsidR="004A0EB2" w:rsidRPr="0058702C">
        <w:rPr>
          <w:bCs/>
          <w:sz w:val="20"/>
          <w:szCs w:val="20"/>
        </w:rPr>
        <w:t xml:space="preserve"> copy number. The cellular accumulation of SMN protein was also significantly decreased in SMA patient-derived cells relative to those derived from a healthy control subject.</w:t>
      </w:r>
    </w:p>
    <w:p w:rsidR="004A0EB2" w:rsidRPr="0058702C" w:rsidRDefault="009D20E0" w:rsidP="004A0EB2">
      <w:pPr>
        <w:pStyle w:val="2"/>
        <w:rPr>
          <w:sz w:val="20"/>
          <w:szCs w:val="20"/>
        </w:rPr>
      </w:pPr>
      <w:r w:rsidRPr="0058702C">
        <w:rPr>
          <w:b/>
          <w:sz w:val="20"/>
          <w:szCs w:val="20"/>
        </w:rPr>
        <w:t>Conclusions:</w:t>
      </w:r>
      <w:r w:rsidRPr="0058702C">
        <w:rPr>
          <w:rFonts w:hint="eastAsia"/>
          <w:sz w:val="20"/>
          <w:szCs w:val="20"/>
        </w:rPr>
        <w:t xml:space="preserve"> We developed a</w:t>
      </w:r>
      <w:r w:rsidR="00E82840" w:rsidRPr="0058702C">
        <w:rPr>
          <w:sz w:val="20"/>
          <w:szCs w:val="20"/>
        </w:rPr>
        <w:t>n</w:t>
      </w:r>
      <w:r w:rsidRPr="0058702C">
        <w:rPr>
          <w:rFonts w:hint="eastAsia"/>
          <w:sz w:val="20"/>
          <w:szCs w:val="20"/>
        </w:rPr>
        <w:t xml:space="preserve"> </w:t>
      </w:r>
      <w:r w:rsidR="00E82840" w:rsidRPr="0058702C">
        <w:rPr>
          <w:rFonts w:hint="eastAsia"/>
          <w:sz w:val="20"/>
          <w:szCs w:val="20"/>
        </w:rPr>
        <w:t xml:space="preserve">IFC </w:t>
      </w:r>
      <w:r w:rsidRPr="0058702C">
        <w:rPr>
          <w:rFonts w:hint="eastAsia"/>
          <w:sz w:val="20"/>
          <w:szCs w:val="20"/>
        </w:rPr>
        <w:t xml:space="preserve">method of SMN protein evaluation </w:t>
      </w:r>
      <w:r w:rsidR="00E82840" w:rsidRPr="0058702C">
        <w:rPr>
          <w:sz w:val="20"/>
          <w:szCs w:val="20"/>
        </w:rPr>
        <w:t xml:space="preserve">using </w:t>
      </w:r>
      <w:r w:rsidR="004A0EB2" w:rsidRPr="0058702C">
        <w:rPr>
          <w:sz w:val="20"/>
          <w:szCs w:val="20"/>
        </w:rPr>
        <w:t xml:space="preserve">human </w:t>
      </w:r>
      <w:proofErr w:type="spellStart"/>
      <w:r w:rsidR="004A0EB2" w:rsidRPr="0058702C">
        <w:rPr>
          <w:sz w:val="20"/>
          <w:szCs w:val="20"/>
        </w:rPr>
        <w:t>lymphoblasts</w:t>
      </w:r>
      <w:proofErr w:type="spellEnd"/>
      <w:r w:rsidRPr="0058702C">
        <w:rPr>
          <w:rFonts w:hint="eastAsia"/>
          <w:sz w:val="20"/>
          <w:szCs w:val="20"/>
        </w:rPr>
        <w:t xml:space="preserve">. </w:t>
      </w:r>
      <w:r w:rsidR="004A0EB2" w:rsidRPr="0058702C">
        <w:rPr>
          <w:sz w:val="20"/>
          <w:szCs w:val="20"/>
        </w:rPr>
        <w:t xml:space="preserve">The benefits of IFC for lymphoblast analysis include its capacities for visualizing cell morphology, and evaluating the accumulation, localization, and expression of a target protein. </w:t>
      </w:r>
    </w:p>
    <w:p w:rsidR="009D20E0" w:rsidRPr="009D20E0" w:rsidRDefault="009D20E0" w:rsidP="009D20E0">
      <w:pPr>
        <w:pStyle w:val="2"/>
      </w:pPr>
    </w:p>
    <w:p w:rsidR="00AE3E37" w:rsidRDefault="00A9710C">
      <w:pPr>
        <w:pStyle w:val="3"/>
        <w:spacing w:before="74"/>
      </w:pPr>
      <w:r>
        <w:rPr>
          <w:b w:val="0"/>
        </w:rPr>
        <w:br w:type="column"/>
      </w:r>
      <w:r>
        <w:rPr>
          <w:color w:val="BF5A14"/>
        </w:rPr>
        <w:t>Image</w:t>
      </w:r>
    </w:p>
    <w:p w:rsidR="00AE3E37" w:rsidRDefault="009D20E0">
      <w:pPr>
        <w:pStyle w:val="a3"/>
        <w:spacing w:before="2"/>
        <w:rPr>
          <w:noProof/>
          <w:lang w:eastAsia="ja-JP"/>
        </w:rPr>
      </w:pPr>
      <w:r w:rsidRPr="009D20E0">
        <w:rPr>
          <w:noProof/>
          <w:lang w:eastAsia="ja-JP"/>
        </w:rPr>
        <mc:AlternateContent>
          <mc:Choice Requires="wps">
            <w:drawing>
              <wp:anchor distT="0" distB="0" distL="114300" distR="114300" simplePos="0" relativeHeight="251659264" behindDoc="0" locked="0" layoutInCell="1" allowOverlap="1" wp14:anchorId="426826B3" wp14:editId="30A17AB8">
                <wp:simplePos x="0" y="0"/>
                <wp:positionH relativeFrom="leftMargin">
                  <wp:posOffset>4895850</wp:posOffset>
                </wp:positionH>
                <wp:positionV relativeFrom="paragraph">
                  <wp:posOffset>113665</wp:posOffset>
                </wp:positionV>
                <wp:extent cx="2006600" cy="1098550"/>
                <wp:effectExtent l="0" t="0" r="0" b="6350"/>
                <wp:wrapNone/>
                <wp:docPr id="4293" name="正方形/長方形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0" cy="1098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D20E0" w:rsidRPr="00C251CA" w:rsidRDefault="009D20E0" w:rsidP="009D20E0">
                            <w:pPr>
                              <w:pStyle w:val="Web"/>
                              <w:kinsoku w:val="0"/>
                              <w:overflowPunct w:val="0"/>
                              <w:spacing w:before="0" w:beforeAutospacing="0" w:after="0" w:afterAutospacing="0"/>
                              <w:textAlignment w:val="baseline"/>
                              <w:rPr>
                                <w:rFonts w:ascii="Times New Roman" w:hAnsi="Times New Roman" w:cs="Times New Roman"/>
                              </w:rPr>
                            </w:pPr>
                            <w:r w:rsidRPr="00C251CA">
                              <w:rPr>
                                <w:rFonts w:ascii="Times New Roman" w:eastAsia="HGP創英角ｺﾞｼｯｸUB" w:hAnsi="Times New Roman" w:cs="Times New Roman"/>
                                <w:color w:val="000000"/>
                                <w:kern w:val="24"/>
                                <w:sz w:val="21"/>
                                <w:szCs w:val="21"/>
                              </w:rPr>
                              <w:t>Cellular localization of SMN in lymphoblasts derived from a healthy control subject and case 1 by IFC. SMN (green), Hoechst 33342 (blue), and bright-field (BF) digital images are shown.</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426826B3" id="正方形/長方形 96" o:spid="_x0000_s1026" style="position:absolute;margin-left:385.5pt;margin-top:8.95pt;width:158pt;height:86.5pt;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" filled="f" stroked="f">
                <v:textbox>
                  <w:txbxContent>
                    <w:p w:rsidR="009D20E0" w:rsidRPr="00C251CA" w:rsidRDefault="009D20E0" w:rsidP="009D20E0">
                      <w:pPr>
                        <w:pStyle w:val="Web"/>
                        <w:kinsoku w:val="0"/>
                        <w:overflowPunct w:val="0"/>
                        <w:spacing w:before="0" w:beforeAutospacing="0" w:after="0" w:afterAutospacing="0"/>
                        <w:textAlignment w:val="baseline"/>
                        <w:rPr>
                          <w:rFonts w:ascii="Times New Roman" w:hAnsi="Times New Roman" w:cs="Times New Roman"/>
                        </w:rPr>
                      </w:pPr>
                      <w:r w:rsidRPr="00C251CA">
                        <w:rPr>
                          <w:rFonts w:ascii="Times New Roman" w:eastAsia="HGP創英角ｺﾞｼｯｸUB" w:hAnsi="Times New Roman" w:cs="Times New Roman"/>
                          <w:color w:val="000000"/>
                          <w:kern w:val="24"/>
                          <w:sz w:val="21"/>
                          <w:szCs w:val="21"/>
                        </w:rPr>
                        <w:t>Cellular localization of SMN in lymphoblasts derived from a healthy control subject and case 1 by IFC. SMN (green), Hoechst 33342 (blue), and bright-field (BF) digital images are shown.</w:t>
                      </w:r>
                    </w:p>
                  </w:txbxContent>
                </v:textbox>
                <w10:wrap anchorx="margin"/>
              </v:rect>
            </w:pict>
          </mc:Fallback>
        </mc:AlternateContent>
      </w:r>
      <w:r w:rsidRPr="009D20E0">
        <w:rPr>
          <w:noProof/>
          <w:lang w:eastAsia="ja-JP"/>
        </w:rPr>
        <w:drawing>
          <wp:inline distT="0" distB="0" distL="0" distR="0" wp14:anchorId="1BC11183" wp14:editId="58C983B6">
            <wp:extent cx="908050" cy="1172696"/>
            <wp:effectExtent l="0" t="0" r="6350" b="889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16562" cy="1183689"/>
                    </a:xfrm>
                    <a:prstGeom prst="rect">
                      <a:avLst/>
                    </a:prstGeom>
                    <a:noFill/>
                    <a:ln>
                      <a:noFill/>
                    </a:ln>
                  </pic:spPr>
                </pic:pic>
              </a:graphicData>
            </a:graphic>
          </wp:inline>
        </w:drawing>
      </w:r>
      <w:bookmarkStart w:id="1" w:name="_GoBack"/>
      <w:bookmarkEnd w:id="1"/>
    </w:p>
    <w:p w:rsidR="005973B9" w:rsidRDefault="005973B9" w:rsidP="005973B9">
      <w:pPr>
        <w:spacing w:line="204" w:lineRule="exact"/>
        <w:rPr>
          <w:rFonts w:ascii="Arial"/>
          <w:b/>
          <w:sz w:val="20"/>
        </w:rPr>
      </w:pPr>
      <w:r>
        <w:rPr>
          <w:rFonts w:ascii="Arial"/>
          <w:b/>
          <w:color w:val="BF5A14"/>
          <w:sz w:val="20"/>
        </w:rPr>
        <w:br/>
        <w:t>Recent Publications</w:t>
      </w:r>
      <w:r w:rsidR="00375020">
        <w:rPr>
          <w:rFonts w:ascii="Arial"/>
          <w:b/>
          <w:color w:val="BF5A14"/>
          <w:sz w:val="20"/>
        </w:rPr>
        <w:t xml:space="preserve"> </w:t>
      </w:r>
    </w:p>
    <w:p w:rsidR="00E42AD1" w:rsidRPr="00E42AD1" w:rsidRDefault="00E42AD1" w:rsidP="00E42AD1">
      <w:pPr>
        <w:pStyle w:val="a5"/>
        <w:numPr>
          <w:ilvl w:val="0"/>
          <w:numId w:val="3"/>
        </w:numPr>
        <w:tabs>
          <w:tab w:val="left" w:pos="384"/>
        </w:tabs>
        <w:spacing w:line="216" w:lineRule="exact"/>
        <w:ind w:right="137" w:hanging="283"/>
        <w:rPr>
          <w:sz w:val="18"/>
        </w:rPr>
      </w:pPr>
      <w:r w:rsidRPr="00E42AD1">
        <w:rPr>
          <w:sz w:val="18"/>
        </w:rPr>
        <w:t xml:space="preserve">Kaneko K, Arakawa R, Urano M, Aoki R, Saito </w:t>
      </w:r>
      <w:proofErr w:type="gramStart"/>
      <w:r w:rsidRPr="00E42AD1">
        <w:rPr>
          <w:sz w:val="18"/>
        </w:rPr>
        <w:t>K.</w:t>
      </w:r>
      <w:r>
        <w:rPr>
          <w:rFonts w:eastAsiaTheme="minorEastAsia" w:hint="eastAsia"/>
          <w:sz w:val="18"/>
          <w:lang w:eastAsia="ja-JP"/>
        </w:rPr>
        <w:t>(</w:t>
      </w:r>
      <w:proofErr w:type="gramEnd"/>
      <w:r>
        <w:rPr>
          <w:rFonts w:eastAsiaTheme="minorEastAsia" w:hint="eastAsia"/>
          <w:sz w:val="18"/>
          <w:lang w:eastAsia="ja-JP"/>
        </w:rPr>
        <w:t>2017)</w:t>
      </w:r>
      <w:r>
        <w:rPr>
          <w:rFonts w:ascii="ＭＳ ゴシック" w:eastAsia="ＭＳ ゴシック" w:hAnsi="ＭＳ ゴシック" w:cs="ＭＳ ゴシック" w:hint="eastAsia"/>
          <w:sz w:val="18"/>
          <w:lang w:eastAsia="ja-JP"/>
        </w:rPr>
        <w:t xml:space="preserve">　</w:t>
      </w:r>
      <w:r w:rsidRPr="00E42AD1">
        <w:rPr>
          <w:sz w:val="18"/>
        </w:rPr>
        <w:t xml:space="preserve">Relationships between long-term observations of motor milestones and genotype analysis results in childhood-onset Japanese spinal muscular atrophy patients. Brain Dev. </w:t>
      </w:r>
    </w:p>
    <w:p w:rsidR="00FB5FBF" w:rsidRDefault="00FB5FBF" w:rsidP="00FB5FBF">
      <w:pPr>
        <w:pStyle w:val="a5"/>
        <w:numPr>
          <w:ilvl w:val="0"/>
          <w:numId w:val="3"/>
        </w:numPr>
        <w:tabs>
          <w:tab w:val="left" w:pos="384"/>
        </w:tabs>
        <w:spacing w:line="216" w:lineRule="exact"/>
        <w:ind w:right="137" w:hanging="283"/>
        <w:rPr>
          <w:sz w:val="18"/>
        </w:rPr>
      </w:pPr>
      <w:r>
        <w:rPr>
          <w:sz w:val="18"/>
        </w:rPr>
        <w:t>Arakawa R, Arakawa M, Kaneko K, Otsuki N, Aoki R, Saito K. (2016) Imaging flow cytometry analysis to identify differences of survival motor neuron protein expression in patients with spinal muscular atrophy. Pediatr Neurol. 61:70-75</w:t>
      </w:r>
    </w:p>
    <w:p w:rsidR="00DC0139" w:rsidRDefault="00DC0139" w:rsidP="00DC0139">
      <w:pPr>
        <w:pStyle w:val="a5"/>
        <w:numPr>
          <w:ilvl w:val="0"/>
          <w:numId w:val="3"/>
        </w:numPr>
        <w:tabs>
          <w:tab w:val="left" w:pos="384"/>
        </w:tabs>
        <w:spacing w:line="216" w:lineRule="exact"/>
        <w:ind w:right="137" w:hanging="283"/>
        <w:rPr>
          <w:sz w:val="18"/>
        </w:rPr>
      </w:pPr>
      <w:r>
        <w:rPr>
          <w:sz w:val="18"/>
        </w:rPr>
        <w:t xml:space="preserve">Arakawa M, Arakawa M, Kaneko K, Otsuki N, Aoki R, Saito K. (2015) A novel evaluation method of survival motor neuron protein as a biomarker of spinal muscular atrophy. </w:t>
      </w:r>
      <w:proofErr w:type="spellStart"/>
      <w:r>
        <w:rPr>
          <w:sz w:val="18"/>
        </w:rPr>
        <w:t>Neuromuscul</w:t>
      </w:r>
      <w:proofErr w:type="spellEnd"/>
      <w:r>
        <w:rPr>
          <w:sz w:val="18"/>
        </w:rPr>
        <w:t xml:space="preserve"> </w:t>
      </w:r>
      <w:proofErr w:type="spellStart"/>
      <w:r w:rsidR="0092487C">
        <w:rPr>
          <w:sz w:val="18"/>
        </w:rPr>
        <w:t>D</w:t>
      </w:r>
      <w:r>
        <w:rPr>
          <w:sz w:val="18"/>
        </w:rPr>
        <w:t>isord</w:t>
      </w:r>
      <w:proofErr w:type="spellEnd"/>
      <w:r>
        <w:rPr>
          <w:sz w:val="18"/>
        </w:rPr>
        <w:t>. 25(Suppl.2): S193-S194</w:t>
      </w:r>
    </w:p>
    <w:p w:rsidR="00FB5FBF" w:rsidRPr="00312C54" w:rsidRDefault="00FB5FBF" w:rsidP="00FB5FBF">
      <w:pPr>
        <w:pStyle w:val="a5"/>
        <w:numPr>
          <w:ilvl w:val="0"/>
          <w:numId w:val="3"/>
        </w:numPr>
        <w:tabs>
          <w:tab w:val="left" w:pos="384"/>
        </w:tabs>
        <w:spacing w:before="103" w:line="216" w:lineRule="exact"/>
        <w:ind w:right="138" w:hanging="283"/>
        <w:rPr>
          <w:sz w:val="18"/>
        </w:rPr>
      </w:pPr>
      <w:r>
        <w:rPr>
          <w:sz w:val="18"/>
        </w:rPr>
        <w:t xml:space="preserve">Arakawa M, Arakawa R, Tatsumi S, Aoki R, Saito K, </w:t>
      </w:r>
      <w:proofErr w:type="spellStart"/>
      <w:r>
        <w:rPr>
          <w:sz w:val="18"/>
        </w:rPr>
        <w:t>Nomoto</w:t>
      </w:r>
      <w:proofErr w:type="spellEnd"/>
      <w:r>
        <w:rPr>
          <w:sz w:val="18"/>
        </w:rPr>
        <w:t xml:space="preserve"> A</w:t>
      </w:r>
      <w:r w:rsidRPr="005973B9">
        <w:rPr>
          <w:sz w:val="18"/>
        </w:rPr>
        <w:t>.</w:t>
      </w:r>
      <w:r>
        <w:rPr>
          <w:sz w:val="18"/>
        </w:rPr>
        <w:t xml:space="preserve"> (2014) A novel evaluation method of survival motor neuron protein as a biomarker of spinal muscular atrophy by imaging flow cytometry. </w:t>
      </w:r>
      <w:proofErr w:type="spellStart"/>
      <w:r>
        <w:rPr>
          <w:sz w:val="18"/>
        </w:rPr>
        <w:t>Biochem</w:t>
      </w:r>
      <w:proofErr w:type="spellEnd"/>
      <w:r>
        <w:rPr>
          <w:sz w:val="18"/>
        </w:rPr>
        <w:t xml:space="preserve"> </w:t>
      </w:r>
      <w:proofErr w:type="spellStart"/>
      <w:r>
        <w:rPr>
          <w:sz w:val="18"/>
        </w:rPr>
        <w:t>Biophs</w:t>
      </w:r>
      <w:proofErr w:type="spellEnd"/>
      <w:r>
        <w:rPr>
          <w:sz w:val="18"/>
        </w:rPr>
        <w:t xml:space="preserve"> Res </w:t>
      </w:r>
      <w:proofErr w:type="spellStart"/>
      <w:r>
        <w:rPr>
          <w:sz w:val="18"/>
        </w:rPr>
        <w:t>Commun</w:t>
      </w:r>
      <w:proofErr w:type="spellEnd"/>
      <w:r>
        <w:rPr>
          <w:sz w:val="18"/>
        </w:rPr>
        <w:t>. 435:368-374</w:t>
      </w:r>
    </w:p>
    <w:p w:rsidR="00AE3E37" w:rsidRPr="0058702C" w:rsidRDefault="00FB5FBF" w:rsidP="0058702C">
      <w:pPr>
        <w:pStyle w:val="a5"/>
        <w:numPr>
          <w:ilvl w:val="0"/>
          <w:numId w:val="3"/>
        </w:numPr>
        <w:tabs>
          <w:tab w:val="left" w:pos="384"/>
        </w:tabs>
        <w:spacing w:before="92" w:line="218" w:lineRule="exact"/>
        <w:ind w:hanging="283"/>
        <w:rPr>
          <w:sz w:val="18"/>
        </w:rPr>
      </w:pPr>
      <w:r>
        <w:rPr>
          <w:sz w:val="18"/>
        </w:rPr>
        <w:t>Arakawa R, Aoki R, Arakawa M, Saito K. (2012) Human first-trimester chorionic villi have a myogenic potential. Cell Tissue Res. 348:189-197</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ja-JP"/>
        </w:rPr>
        <mc:AlternateContent>
          <mc:Choice Requires="wpg">
            <w:drawing>
              <wp:inline distT="0" distB="0" distL="0" distR="0" wp14:anchorId="53A9EED1" wp14:editId="393B97F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639A1F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EE4269">
        <w:rPr>
          <w:noProof/>
          <w:lang w:eastAsia="ja-JP"/>
        </w:rPr>
        <w:drawing>
          <wp:inline distT="0" distB="0" distL="0" distR="0">
            <wp:extent cx="417664" cy="567055"/>
            <wp:effectExtent l="0" t="0" r="1905" b="4445"/>
            <wp:docPr id="16" name="図 16" descr="C:\Users\Reiko Arakawa\AppData\Local\Microsoft\Windows\INetCache\Content.Word\荒川玲子写真.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iko Arakawa\AppData\Local\Microsoft\Windows\INetCache\Content.Word\荒川玲子写真.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9667" cy="596928"/>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475F8D" w:rsidRPr="00475F8D" w:rsidRDefault="00D52B59" w:rsidP="00475F8D">
      <w:pPr>
        <w:rPr>
          <w:rFonts w:ascii="Arial" w:hAnsi="Arial" w:cs="Arial"/>
          <w:sz w:val="16"/>
          <w:szCs w:val="16"/>
        </w:rPr>
      </w:pPr>
      <w:r>
        <w:rPr>
          <w:rFonts w:ascii="Arial"/>
          <w:sz w:val="14"/>
        </w:rPr>
        <w:t>R</w:t>
      </w:r>
      <w:r w:rsidRPr="00475F8D">
        <w:rPr>
          <w:rFonts w:ascii="Arial" w:hAnsi="Arial" w:cs="Arial"/>
          <w:sz w:val="16"/>
          <w:szCs w:val="16"/>
        </w:rPr>
        <w:t xml:space="preserve">eiko Arakawa is an assistant professor </w:t>
      </w:r>
      <w:r w:rsidR="00E82840">
        <w:rPr>
          <w:rFonts w:ascii="Arial" w:hAnsi="Arial" w:cs="Arial"/>
          <w:sz w:val="16"/>
          <w:szCs w:val="16"/>
        </w:rPr>
        <w:t>at the</w:t>
      </w:r>
      <w:r w:rsidR="00E82840" w:rsidRPr="00475F8D">
        <w:rPr>
          <w:rFonts w:ascii="Arial" w:hAnsi="Arial" w:cs="Arial"/>
          <w:sz w:val="16"/>
          <w:szCs w:val="16"/>
        </w:rPr>
        <w:t xml:space="preserve"> </w:t>
      </w:r>
      <w:r w:rsidRPr="00475F8D">
        <w:rPr>
          <w:rFonts w:ascii="Arial" w:hAnsi="Arial" w:cs="Arial"/>
          <w:sz w:val="16"/>
          <w:szCs w:val="16"/>
        </w:rPr>
        <w:t xml:space="preserve">Institute of Medical Genetics, </w:t>
      </w:r>
      <w:r w:rsidR="00475F8D" w:rsidRPr="00475F8D">
        <w:rPr>
          <w:rFonts w:ascii="Arial" w:hAnsi="Arial" w:cs="Arial"/>
          <w:sz w:val="16"/>
          <w:szCs w:val="16"/>
        </w:rPr>
        <w:t xml:space="preserve">Tokyo Women’s Medical University. She </w:t>
      </w:r>
      <w:r w:rsidR="00E82840">
        <w:rPr>
          <w:rFonts w:ascii="Arial" w:hAnsi="Arial" w:cs="Arial"/>
          <w:sz w:val="16"/>
          <w:szCs w:val="16"/>
        </w:rPr>
        <w:t>has</w:t>
      </w:r>
      <w:r w:rsidR="00475F8D" w:rsidRPr="00475F8D">
        <w:rPr>
          <w:rFonts w:ascii="Arial" w:hAnsi="Arial" w:cs="Arial"/>
          <w:sz w:val="16"/>
          <w:szCs w:val="16"/>
        </w:rPr>
        <w:t xml:space="preserve"> also </w:t>
      </w:r>
      <w:r w:rsidR="00E82840">
        <w:rPr>
          <w:rFonts w:ascii="Arial" w:hAnsi="Arial" w:cs="Arial"/>
          <w:sz w:val="16"/>
          <w:szCs w:val="16"/>
        </w:rPr>
        <w:t xml:space="preserve">been </w:t>
      </w:r>
      <w:proofErr w:type="gramStart"/>
      <w:r w:rsidR="00E82840">
        <w:rPr>
          <w:rFonts w:ascii="Arial" w:hAnsi="Arial" w:cs="Arial"/>
          <w:sz w:val="16"/>
          <w:szCs w:val="16"/>
        </w:rPr>
        <w:t>participating  in</w:t>
      </w:r>
      <w:proofErr w:type="gramEnd"/>
      <w:r w:rsidR="00E82840">
        <w:rPr>
          <w:rFonts w:ascii="Arial" w:hAnsi="Arial" w:cs="Arial"/>
          <w:sz w:val="16"/>
          <w:szCs w:val="16"/>
        </w:rPr>
        <w:t xml:space="preserve"> a</w:t>
      </w:r>
      <w:r w:rsidR="00475F8D" w:rsidRPr="00475F8D">
        <w:rPr>
          <w:rFonts w:ascii="Arial" w:hAnsi="Arial" w:cs="Arial"/>
          <w:sz w:val="16"/>
          <w:szCs w:val="16"/>
        </w:rPr>
        <w:t xml:space="preserve"> clinical study of SMA supported by the Practical Research Project for Rare/Intractable Diseases from Japan Agency for Medical Research and development (AMED) </w:t>
      </w:r>
      <w:r w:rsidR="00E82840">
        <w:rPr>
          <w:rFonts w:ascii="Arial" w:hAnsi="Arial" w:cs="Arial"/>
          <w:sz w:val="16"/>
          <w:szCs w:val="16"/>
        </w:rPr>
        <w:t>since</w:t>
      </w:r>
      <w:r w:rsidR="00E82840" w:rsidRPr="00475F8D">
        <w:rPr>
          <w:rFonts w:ascii="Arial" w:hAnsi="Arial" w:cs="Arial"/>
          <w:sz w:val="16"/>
          <w:szCs w:val="16"/>
        </w:rPr>
        <w:t xml:space="preserve"> </w:t>
      </w:r>
      <w:r w:rsidR="00475F8D" w:rsidRPr="00475F8D">
        <w:rPr>
          <w:rFonts w:ascii="Arial" w:hAnsi="Arial" w:cs="Arial"/>
          <w:sz w:val="16"/>
          <w:szCs w:val="16"/>
        </w:rPr>
        <w:t>2014. Recently, h</w:t>
      </w:r>
      <w:r w:rsidR="00E82840">
        <w:rPr>
          <w:rFonts w:ascii="Arial" w:hAnsi="Arial" w:cs="Arial"/>
          <w:sz w:val="16"/>
          <w:szCs w:val="16"/>
        </w:rPr>
        <w:t>er</w:t>
      </w:r>
      <w:r w:rsidR="00475F8D" w:rsidRPr="00475F8D">
        <w:rPr>
          <w:rFonts w:ascii="Arial" w:hAnsi="Arial" w:cs="Arial"/>
          <w:sz w:val="16"/>
          <w:szCs w:val="16"/>
        </w:rPr>
        <w:t xml:space="preserve"> </w:t>
      </w:r>
      <w:r w:rsidR="00E82840">
        <w:rPr>
          <w:rFonts w:ascii="Arial" w:hAnsi="Arial" w:cs="Arial"/>
          <w:sz w:val="16"/>
          <w:szCs w:val="16"/>
        </w:rPr>
        <w:t>research has</w:t>
      </w:r>
      <w:r w:rsidR="00475F8D" w:rsidRPr="00475F8D">
        <w:rPr>
          <w:rFonts w:ascii="Arial" w:hAnsi="Arial" w:cs="Arial"/>
          <w:sz w:val="16"/>
          <w:szCs w:val="16"/>
        </w:rPr>
        <w:t xml:space="preserve"> focused on new technology for SMN protein analysis in clinical </w:t>
      </w:r>
      <w:r w:rsidR="00E82840" w:rsidRPr="00475F8D">
        <w:rPr>
          <w:rFonts w:ascii="Arial" w:hAnsi="Arial" w:cs="Arial"/>
          <w:sz w:val="16"/>
          <w:szCs w:val="16"/>
        </w:rPr>
        <w:t xml:space="preserve">SMA </w:t>
      </w:r>
      <w:r w:rsidR="00475F8D" w:rsidRPr="00475F8D">
        <w:rPr>
          <w:rFonts w:ascii="Arial" w:hAnsi="Arial" w:cs="Arial"/>
          <w:sz w:val="16"/>
          <w:szCs w:val="16"/>
        </w:rPr>
        <w:t>stud</w:t>
      </w:r>
      <w:r w:rsidR="00E82840">
        <w:rPr>
          <w:rFonts w:ascii="Arial" w:hAnsi="Arial" w:cs="Arial"/>
          <w:sz w:val="16"/>
          <w:szCs w:val="16"/>
        </w:rPr>
        <w:t>ies</w:t>
      </w:r>
      <w:r w:rsidR="00475F8D" w:rsidRPr="00475F8D">
        <w:rPr>
          <w:rFonts w:ascii="Arial" w:hAnsi="Arial" w:cs="Arial"/>
          <w:sz w:val="16"/>
          <w:szCs w:val="16"/>
        </w:rPr>
        <w:t xml:space="preserve">. </w:t>
      </w:r>
    </w:p>
    <w:p w:rsidR="00AE3E37" w:rsidRPr="000A18AC" w:rsidRDefault="000A18AC">
      <w:pPr>
        <w:spacing w:before="62"/>
        <w:ind w:left="4217" w:right="4235"/>
        <w:jc w:val="center"/>
        <w:rPr>
          <w:rFonts w:ascii="Arial" w:eastAsiaTheme="minorEastAsia"/>
          <w:sz w:val="14"/>
          <w:lang w:eastAsia="ja-JP"/>
        </w:rPr>
      </w:pPr>
      <w:r>
        <w:rPr>
          <w:rFonts w:ascii="Arial"/>
          <w:sz w:val="14"/>
        </w:rPr>
        <w:t>Email:Arakawa.reiko@twmu.ac.jp</w:t>
      </w:r>
    </w:p>
    <w:p w:rsidR="00AE3E37" w:rsidRDefault="00292ED9">
      <w:pPr>
        <w:pStyle w:val="a3"/>
        <w:spacing w:before="2"/>
        <w:rPr>
          <w:rFonts w:ascii="Arial"/>
          <w:sz w:val="19"/>
        </w:rPr>
      </w:pPr>
      <w:r>
        <w:rPr>
          <w:noProof/>
          <w:lang w:eastAsia="ja-JP"/>
        </w:rPr>
        <mc:AlternateContent>
          <mc:Choice Requires="wps">
            <w:drawing>
              <wp:anchor distT="0" distB="0" distL="0" distR="0" simplePos="0" relativeHeight="1072" behindDoc="0" locked="0" layoutInCell="1" allowOverlap="1" wp14:anchorId="5F3779DD" wp14:editId="6E4B065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49464B"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Pr="00A56656" w:rsidRDefault="00AE3E37" w:rsidP="00A56656">
      <w:pPr>
        <w:spacing w:before="39"/>
        <w:rPr>
          <w:rFonts w:ascii="Minion Pro"/>
          <w:b/>
          <w:sz w:val="20"/>
        </w:rPr>
        <w:sectPr w:rsidR="00AE3E37" w:rsidRPr="00A56656">
          <w:type w:val="continuous"/>
          <w:pgSz w:w="11910" w:h="16840"/>
          <w:pgMar w:top="1740" w:right="600" w:bottom="840" w:left="620" w:header="720" w:footer="720" w:gutter="0"/>
          <w:cols w:space="720"/>
        </w:sectPr>
      </w:pPr>
    </w:p>
    <w:p w:rsidR="00AE3E37" w:rsidRDefault="00AE3E37" w:rsidP="004A6522">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A1C9A" w:rsidRDefault="00CA1C9A">
      <w:r>
        <w:separator/>
      </w:r>
    </w:p>
  </w:endnote>
  <w:endnote w:type="continuationSeparator" w:id="0">
    <w:p w:rsidR="00CA1C9A" w:rsidRDefault="00CA1C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w Cen MT">
    <w:altName w:val="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ＭＳ Ｐゴシック">
    <w:altName w:val="MS PGothic"/>
    <w:panose1 w:val="020B0600070205080204"/>
    <w:charset w:val="80"/>
    <w:family w:val="modern"/>
    <w:pitch w:val="variable"/>
    <w:sig w:usb0="E00002FF" w:usb1="6AC7FDFB" w:usb2="08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HGP創英角ｺﾞｼｯｸUB">
    <w:altName w:val="HGPSoeiKakugothicUB"/>
    <w:panose1 w:val="020B09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952" behindDoc="1" locked="0" layoutInCell="1" allowOverlap="1" wp14:anchorId="0216EF23" wp14:editId="44E0D64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16EF23" id="_x0000_t202" coordsize="21600,21600" o:spt="202" path="m,l,21600r21600,l21600,xe">
              <v:stroke joinstyle="miter"/>
              <v:path gradientshapeok="t" o:connecttype="rect"/>
            </v:shapetype>
            <v:shape id="Text Box 2" o:spid="_x0000_s1031"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A1C9A" w:rsidRDefault="00CA1C9A">
      <w:r>
        <w:separator/>
      </w:r>
    </w:p>
  </w:footnote>
  <w:footnote w:type="continuationSeparator" w:id="0">
    <w:p w:rsidR="00CA1C9A" w:rsidRDefault="00CA1C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904" behindDoc="1" locked="0" layoutInCell="1" allowOverlap="1" wp14:anchorId="3A217F94" wp14:editId="322832E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217F94" id="_x0000_t202" coordsize="21600,21600" o:spt="202" path="m,l,21600r21600,l21600,xe">
              <v:stroke joinstyle="miter"/>
              <v:path gradientshapeok="t" o:connecttype="rect"/>
            </v:shapetype>
            <v:shape id="Text Box 4" o:spid="_x0000_s1030"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1"/>
  <w:activeWritingStyle w:appName="MSWord" w:lang="en-US" w:vendorID="64" w:dllVersion="0" w:nlCheck="1" w:checkStyle="0"/>
  <w:activeWritingStyle w:appName="MSWord" w:lang="ja-JP" w:vendorID="64" w:dllVersion="0" w:nlCheck="1" w:checkStyle="1"/>
  <w:proofState w:spelling="clean" w:grammar="clean"/>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7723"/>
    <w:rsid w:val="0006527B"/>
    <w:rsid w:val="000A18AC"/>
    <w:rsid w:val="000E2911"/>
    <w:rsid w:val="00104D9B"/>
    <w:rsid w:val="001202A9"/>
    <w:rsid w:val="001263DF"/>
    <w:rsid w:val="00137E9C"/>
    <w:rsid w:val="001469F6"/>
    <w:rsid w:val="00151D83"/>
    <w:rsid w:val="002160C5"/>
    <w:rsid w:val="0028464A"/>
    <w:rsid w:val="00292ED9"/>
    <w:rsid w:val="00375020"/>
    <w:rsid w:val="00385BE6"/>
    <w:rsid w:val="00391CD4"/>
    <w:rsid w:val="00404E5B"/>
    <w:rsid w:val="00414F7B"/>
    <w:rsid w:val="004355DC"/>
    <w:rsid w:val="004749B4"/>
    <w:rsid w:val="00475F8D"/>
    <w:rsid w:val="00487F20"/>
    <w:rsid w:val="00494130"/>
    <w:rsid w:val="004A0EB2"/>
    <w:rsid w:val="004A6522"/>
    <w:rsid w:val="004B0E9A"/>
    <w:rsid w:val="004F3523"/>
    <w:rsid w:val="0058702C"/>
    <w:rsid w:val="005973B9"/>
    <w:rsid w:val="005B3A56"/>
    <w:rsid w:val="005C463A"/>
    <w:rsid w:val="006060CE"/>
    <w:rsid w:val="0063497F"/>
    <w:rsid w:val="00646707"/>
    <w:rsid w:val="00712F77"/>
    <w:rsid w:val="0078170E"/>
    <w:rsid w:val="007817E1"/>
    <w:rsid w:val="0082191B"/>
    <w:rsid w:val="00873DF0"/>
    <w:rsid w:val="008756E6"/>
    <w:rsid w:val="008B311C"/>
    <w:rsid w:val="0092487C"/>
    <w:rsid w:val="00995110"/>
    <w:rsid w:val="009B2D44"/>
    <w:rsid w:val="009D20E0"/>
    <w:rsid w:val="00A07E82"/>
    <w:rsid w:val="00A56656"/>
    <w:rsid w:val="00A9710C"/>
    <w:rsid w:val="00AA52FB"/>
    <w:rsid w:val="00AE3E37"/>
    <w:rsid w:val="00B21A57"/>
    <w:rsid w:val="00B37533"/>
    <w:rsid w:val="00B91D05"/>
    <w:rsid w:val="00C17B70"/>
    <w:rsid w:val="00C251CA"/>
    <w:rsid w:val="00C33602"/>
    <w:rsid w:val="00CA1C9A"/>
    <w:rsid w:val="00CD55B6"/>
    <w:rsid w:val="00CD6F55"/>
    <w:rsid w:val="00CF6819"/>
    <w:rsid w:val="00D04FCD"/>
    <w:rsid w:val="00D52B59"/>
    <w:rsid w:val="00DA79DE"/>
    <w:rsid w:val="00DC0139"/>
    <w:rsid w:val="00DD2CF4"/>
    <w:rsid w:val="00DE3104"/>
    <w:rsid w:val="00E2086E"/>
    <w:rsid w:val="00E25E92"/>
    <w:rsid w:val="00E42AD1"/>
    <w:rsid w:val="00E82840"/>
    <w:rsid w:val="00EE4269"/>
    <w:rsid w:val="00F2405E"/>
    <w:rsid w:val="00F42DD6"/>
    <w:rsid w:val="00F47FA0"/>
    <w:rsid w:val="00F72EEA"/>
    <w:rsid w:val="00F84CAE"/>
    <w:rsid w:val="00FB5FBF"/>
    <w:rsid w:val="00FC7FB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0E41C51"/>
  <w15:docId w15:val="{CDBE9557-ADAA-448C-A81B-887696947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 w:type="paragraph" w:styleId="Web">
    <w:name w:val="Normal (Web)"/>
    <w:basedOn w:val="a"/>
    <w:uiPriority w:val="99"/>
    <w:semiHidden/>
    <w:unhideWhenUsed/>
    <w:rsid w:val="009D20E0"/>
    <w:pPr>
      <w:widowControl/>
      <w:spacing w:before="100" w:beforeAutospacing="1" w:after="100" w:afterAutospacing="1"/>
    </w:pPr>
    <w:rPr>
      <w:rFonts w:ascii="ＭＳ Ｐゴシック" w:eastAsia="ＭＳ Ｐゴシック" w:hAnsi="ＭＳ Ｐゴシック" w:cs="ＭＳ Ｐゴシック"/>
      <w:sz w:val="24"/>
      <w:szCs w:val="24"/>
      <w:lang w:eastAsia="ja-JP"/>
    </w:rPr>
  </w:style>
  <w:style w:type="character" w:styleId="ad">
    <w:name w:val="Unresolved Mention"/>
    <w:basedOn w:val="a0"/>
    <w:uiPriority w:val="99"/>
    <w:semiHidden/>
    <w:unhideWhenUsed/>
    <w:rsid w:val="00FC7FB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84552129">
      <w:bodyDiv w:val="1"/>
      <w:marLeft w:val="0"/>
      <w:marRight w:val="0"/>
      <w:marTop w:val="0"/>
      <w:marBottom w:val="0"/>
      <w:divBdr>
        <w:top w:val="none" w:sz="0" w:space="0" w:color="auto"/>
        <w:left w:val="none" w:sz="0" w:space="0" w:color="auto"/>
        <w:bottom w:val="none" w:sz="0" w:space="0" w:color="auto"/>
        <w:right w:val="none" w:sz="0" w:space="0" w:color="auto"/>
      </w:divBdr>
    </w:div>
    <w:div w:id="144935346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77469599">
      <w:bodyDiv w:val="1"/>
      <w:marLeft w:val="0"/>
      <w:marRight w:val="0"/>
      <w:marTop w:val="0"/>
      <w:marBottom w:val="0"/>
      <w:divBdr>
        <w:top w:val="none" w:sz="0" w:space="0" w:color="auto"/>
        <w:left w:val="none" w:sz="0" w:space="0" w:color="auto"/>
        <w:bottom w:val="none" w:sz="0" w:space="0" w:color="auto"/>
        <w:right w:val="none" w:sz="0" w:space="0" w:color="auto"/>
      </w:divBdr>
    </w:div>
    <w:div w:id="1692604714">
      <w:bodyDiv w:val="1"/>
      <w:marLeft w:val="0"/>
      <w:marRight w:val="0"/>
      <w:marTop w:val="0"/>
      <w:marBottom w:val="0"/>
      <w:divBdr>
        <w:top w:val="none" w:sz="0" w:space="0" w:color="auto"/>
        <w:left w:val="none" w:sz="0" w:space="0" w:color="auto"/>
        <w:bottom w:val="none" w:sz="0" w:space="0" w:color="auto"/>
        <w:right w:val="none" w:sz="0" w:space="0" w:color="auto"/>
      </w:divBdr>
    </w:div>
    <w:div w:id="1767076085">
      <w:bodyDiv w:val="1"/>
      <w:marLeft w:val="0"/>
      <w:marRight w:val="0"/>
      <w:marTop w:val="0"/>
      <w:marBottom w:val="0"/>
      <w:divBdr>
        <w:top w:val="none" w:sz="0" w:space="0" w:color="auto"/>
        <w:left w:val="none" w:sz="0" w:space="0" w:color="auto"/>
        <w:bottom w:val="none" w:sz="0" w:space="0" w:color="auto"/>
        <w:right w:val="none" w:sz="0" w:space="0" w:color="auto"/>
      </w:divBdr>
    </w:div>
    <w:div w:id="19476192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542</Words>
  <Characters>3094</Characters>
  <Application>Microsoft Office Word</Application>
  <DocSecurity>0</DocSecurity>
  <Lines>25</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荒川玲子</cp:lastModifiedBy>
  <cp:revision>3</cp:revision>
  <dcterms:created xsi:type="dcterms:W3CDTF">2017-06-23T03:54:00Z</dcterms:created>
  <dcterms:modified xsi:type="dcterms:W3CDTF">2017-06-23T03:54:00Z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