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Default="00C14724" w:rsidP="00494130">
      <w:pPr>
        <w:pStyle w:val="Titre1"/>
        <w:spacing w:before="170"/>
        <w:ind w:left="0"/>
      </w:pPr>
      <w:r w:rsidRPr="00C14724">
        <w:rPr>
          <w:color w:val="4F81BD" w:themeColor="accent1"/>
        </w:rPr>
        <w:t xml:space="preserve">Abnormal calcium entries and Calcium Channels in </w:t>
      </w:r>
      <w:proofErr w:type="gramStart"/>
      <w:r w:rsidRPr="00C14724">
        <w:rPr>
          <w:color w:val="4F81BD" w:themeColor="accent1"/>
        </w:rPr>
        <w:t>DMD :</w:t>
      </w:r>
      <w:proofErr w:type="gramEnd"/>
      <w:r w:rsidRPr="00C14724">
        <w:rPr>
          <w:color w:val="4F81BD" w:themeColor="accent1"/>
        </w:rPr>
        <w:t xml:space="preserve"> New therapeutic targets.</w:t>
      </w:r>
    </w:p>
    <w:p w:rsidR="005973B9" w:rsidRDefault="00C14724" w:rsidP="005973B9">
      <w:pPr>
        <w:pStyle w:val="Corpsdetexte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Bruno Constantin</w:t>
      </w:r>
      <w:r w:rsidR="005973B9">
        <w:rPr>
          <w:rFonts w:ascii="Arial"/>
        </w:rPr>
        <w:t xml:space="preserve"> PhD, </w:t>
      </w:r>
      <w:r>
        <w:rPr>
          <w:rFonts w:ascii="Arial"/>
        </w:rPr>
        <w:t>STIM Laboratory, CNRS</w:t>
      </w:r>
      <w:r w:rsidR="005973B9">
        <w:rPr>
          <w:rFonts w:ascii="Arial"/>
        </w:rPr>
        <w:t xml:space="preserve">, </w:t>
      </w:r>
      <w:r>
        <w:rPr>
          <w:rFonts w:ascii="Arial"/>
        </w:rPr>
        <w:t>France</w:t>
      </w:r>
      <w:r w:rsidR="005973B9">
        <w:rPr>
          <w:rFonts w:ascii="Arial"/>
        </w:rPr>
        <w:t xml:space="preserve"> </w:t>
      </w:r>
    </w:p>
    <w:p w:rsidR="00AE3E37" w:rsidRDefault="00AE3E37">
      <w:pPr>
        <w:pStyle w:val="Corpsdetexte"/>
        <w:rPr>
          <w:rFonts w:ascii="Arial"/>
          <w:sz w:val="20"/>
        </w:rPr>
      </w:pPr>
    </w:p>
    <w:p w:rsidR="00AE3E37" w:rsidRDefault="00AE3E37">
      <w:pPr>
        <w:pStyle w:val="Corpsdetexte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Titre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AE3E37" w:rsidRDefault="00C14724" w:rsidP="00C14724">
      <w:pPr>
        <w:adjustRightInd w:val="0"/>
        <w:jc w:val="both"/>
      </w:pPr>
      <w:r w:rsidRPr="00C14724">
        <w:rPr>
          <w:sz w:val="18"/>
          <w:szCs w:val="18"/>
          <w:lang w:val="en-GB"/>
        </w:rPr>
        <w:t xml:space="preserve">Duchenne Muscular Dystrophy (DMD) is cause by the absence of dystrophin a cytoskeleton protein. </w:t>
      </w:r>
      <w:r w:rsidRPr="00C14724">
        <w:rPr>
          <w:color w:val="000000"/>
          <w:sz w:val="18"/>
          <w:szCs w:val="18"/>
          <w:lang w:val="en-GB"/>
        </w:rPr>
        <w:t xml:space="preserve">The absence of dystrophin results in a loss of dystrophin-associated proteins at the sarcolemma such as </w:t>
      </w:r>
      <w:proofErr w:type="spellStart"/>
      <w:r w:rsidRPr="00C14724">
        <w:rPr>
          <w:color w:val="000000"/>
          <w:sz w:val="18"/>
          <w:szCs w:val="18"/>
          <w:lang w:val="en-GB"/>
        </w:rPr>
        <w:t>syntrophin</w:t>
      </w:r>
      <w:proofErr w:type="spellEnd"/>
      <w:r w:rsidRPr="00C14724">
        <w:rPr>
          <w:color w:val="000000"/>
          <w:sz w:val="18"/>
          <w:szCs w:val="18"/>
          <w:lang w:val="en-GB"/>
        </w:rPr>
        <w:t>, and in calcium transfer deregulation through ion channels. This alteration in cell signalling may contribute to the death of muscle cells.</w:t>
      </w:r>
      <w:r w:rsidRPr="00C14724">
        <w:rPr>
          <w:rFonts w:cs="Tahoma"/>
          <w:color w:val="000000"/>
          <w:sz w:val="18"/>
          <w:szCs w:val="18"/>
          <w:lang w:val="en-GB"/>
        </w:rPr>
        <w:t xml:space="preserve"> </w:t>
      </w:r>
      <w:r w:rsidRPr="00C14724">
        <w:rPr>
          <w:color w:val="000000"/>
          <w:sz w:val="18"/>
          <w:szCs w:val="18"/>
          <w:lang w:val="en-GB"/>
        </w:rPr>
        <w:t xml:space="preserve">The abnormalities in resting calcium permeability of DMD muscles have supported the idea of a small and persistent inward calcium leak leading to deleterious calcium mishandling. Studies on mouse muscle fibres also demonstrated that store-dependent calcium currents are more important in fibres from </w:t>
      </w:r>
      <w:r w:rsidRPr="00C14724">
        <w:rPr>
          <w:i/>
          <w:iCs/>
          <w:color w:val="000000"/>
          <w:sz w:val="18"/>
          <w:szCs w:val="18"/>
          <w:lang w:val="en-GB"/>
        </w:rPr>
        <w:t>mdx</w:t>
      </w:r>
      <w:r w:rsidRPr="00C14724">
        <w:rPr>
          <w:color w:val="000000"/>
          <w:sz w:val="18"/>
          <w:szCs w:val="18"/>
          <w:lang w:val="en-GB"/>
        </w:rPr>
        <w:t xml:space="preserve"> dystrophic mice and we have shown that these Cation entries are restored by forced expression of a </w:t>
      </w:r>
      <w:proofErr w:type="spellStart"/>
      <w:r w:rsidRPr="00C14724">
        <w:rPr>
          <w:color w:val="000000"/>
          <w:sz w:val="18"/>
          <w:szCs w:val="18"/>
          <w:lang w:val="en-GB"/>
        </w:rPr>
        <w:t>minidystrophin</w:t>
      </w:r>
      <w:proofErr w:type="spellEnd"/>
      <w:r w:rsidRPr="00C14724">
        <w:rPr>
          <w:color w:val="000000"/>
          <w:sz w:val="18"/>
          <w:szCs w:val="18"/>
          <w:lang w:val="en-GB"/>
        </w:rPr>
        <w:t xml:space="preserve">. Our group provided new insights by demonstrating the existence of a macromolecular complex including TRPC1 and TRPC4 channels associated with dystrophin and the </w:t>
      </w:r>
      <w:proofErr w:type="spellStart"/>
      <w:r w:rsidRPr="00C14724">
        <w:rPr>
          <w:color w:val="000000"/>
          <w:sz w:val="18"/>
          <w:szCs w:val="18"/>
          <w:lang w:val="en-GB"/>
        </w:rPr>
        <w:t>adaptator</w:t>
      </w:r>
      <w:proofErr w:type="spellEnd"/>
      <w:r w:rsidRPr="00C14724">
        <w:rPr>
          <w:color w:val="000000"/>
          <w:sz w:val="18"/>
          <w:szCs w:val="18"/>
          <w:lang w:val="en-GB"/>
        </w:rPr>
        <w:t xml:space="preserve"> Alpha1-syntrophin, which regulates through its PDZ domain the cation influx through TRPC. Consequently, the loss of dystrophin and Alpha1-syntrophin at the sarcolemma in DMD skeletal muscle leads to the loss of the repressing effect exerted on cation entries through TRPC channels. These disorders may be relevant for DMD </w:t>
      </w:r>
      <w:proofErr w:type="spellStart"/>
      <w:r w:rsidRPr="00C14724">
        <w:rPr>
          <w:color w:val="000000"/>
          <w:sz w:val="18"/>
          <w:szCs w:val="18"/>
          <w:lang w:val="en-GB"/>
        </w:rPr>
        <w:t>physiopathological</w:t>
      </w:r>
      <w:proofErr w:type="spellEnd"/>
      <w:r w:rsidRPr="00C14724">
        <w:rPr>
          <w:color w:val="000000"/>
          <w:sz w:val="18"/>
          <w:szCs w:val="18"/>
          <w:lang w:val="en-GB"/>
        </w:rPr>
        <w:t xml:space="preserve"> processes since overexpression of TRPC channels and increased calcium influx are sufficient for promoting the development of muscular dystrophy in mice</w:t>
      </w:r>
      <w:r w:rsidRPr="00C14724">
        <w:rPr>
          <w:sz w:val="18"/>
          <w:szCs w:val="18"/>
          <w:lang w:val="en-GB"/>
        </w:rPr>
        <w:t>.</w:t>
      </w:r>
      <w:r w:rsidRPr="00C14724">
        <w:rPr>
          <w:rFonts w:cs="Tahoma"/>
          <w:sz w:val="18"/>
          <w:szCs w:val="18"/>
          <w:lang w:val="en-GB"/>
        </w:rPr>
        <w:t xml:space="preserve"> </w:t>
      </w:r>
      <w:r w:rsidRPr="00C14724">
        <w:rPr>
          <w:sz w:val="18"/>
          <w:szCs w:val="18"/>
          <w:lang w:val="en-GB"/>
        </w:rPr>
        <w:t xml:space="preserve">Elevation of calcium entry via TRPV2 cationic channels also promotes muscular dystrophy in animal models. Our studies on </w:t>
      </w:r>
      <w:r w:rsidRPr="00C14724">
        <w:rPr>
          <w:rFonts w:cs="Tahoma"/>
          <w:color w:val="000000"/>
          <w:sz w:val="18"/>
          <w:szCs w:val="18"/>
          <w:lang w:val="en-GB"/>
        </w:rPr>
        <w:t xml:space="preserve">human muscle from DMD patients confirmed the alterations of Store-operated calcium entries and their regulation by </w:t>
      </w:r>
      <w:proofErr w:type="spellStart"/>
      <w:r w:rsidRPr="00C14724">
        <w:rPr>
          <w:rFonts w:cs="Tahoma"/>
          <w:color w:val="000000"/>
          <w:sz w:val="18"/>
          <w:szCs w:val="18"/>
          <w:lang w:val="en-GB"/>
        </w:rPr>
        <w:t>syntrophin</w:t>
      </w:r>
      <w:proofErr w:type="spellEnd"/>
      <w:r w:rsidRPr="00C14724">
        <w:rPr>
          <w:rFonts w:cs="Tahoma"/>
          <w:color w:val="000000"/>
          <w:sz w:val="18"/>
          <w:szCs w:val="18"/>
          <w:lang w:val="en-GB"/>
        </w:rPr>
        <w:t xml:space="preserve">, as well as the implication of TRPV2 in additional abnormal entries. Moreover we also demonstrated that TRPV2 is also involved in abnormal constitutive calcium entries observed in ventricular cardiomyocytes from </w:t>
      </w:r>
      <w:r w:rsidRPr="00C14724">
        <w:rPr>
          <w:rFonts w:cs="Tahoma"/>
          <w:i/>
          <w:color w:val="000000"/>
          <w:sz w:val="18"/>
          <w:szCs w:val="18"/>
          <w:lang w:val="en-GB"/>
        </w:rPr>
        <w:t>mdx</w:t>
      </w:r>
      <w:r w:rsidRPr="00C14724">
        <w:rPr>
          <w:rFonts w:cs="Tahoma"/>
          <w:color w:val="000000"/>
          <w:sz w:val="18"/>
          <w:szCs w:val="18"/>
          <w:lang w:val="en-GB"/>
        </w:rPr>
        <w:t xml:space="preserve"> dystrophic mice, and also in axial </w:t>
      </w:r>
      <w:r w:rsidRPr="00C14724">
        <w:rPr>
          <w:rFonts w:cs="Arial"/>
          <w:noProof/>
          <w:sz w:val="18"/>
          <w:szCs w:val="18"/>
          <w:lang w:eastAsia="fr-FR"/>
        </w:rPr>
        <w:t>stretch-dependent influx</w:t>
      </w:r>
      <w:r w:rsidRPr="00C14724">
        <w:rPr>
          <w:rFonts w:cs="Arial"/>
          <w:noProof/>
          <w:sz w:val="18"/>
          <w:szCs w:val="18"/>
        </w:rPr>
        <w:t xml:space="preserve">. </w:t>
      </w:r>
      <w:r w:rsidRPr="00C14724">
        <w:rPr>
          <w:color w:val="000000"/>
          <w:sz w:val="18"/>
          <w:szCs w:val="18"/>
          <w:lang w:val="en-GB"/>
        </w:rPr>
        <w:t xml:space="preserve">This cation channels could offer new therapeutic pharmacological targets, for counteracting </w:t>
      </w:r>
      <w:r w:rsidRPr="00C14724">
        <w:rPr>
          <w:sz w:val="18"/>
          <w:szCs w:val="18"/>
          <w:lang w:val="en-GB"/>
        </w:rPr>
        <w:t>calcium-induced muscle degeneration and cardiomyopathy in</w:t>
      </w:r>
      <w:r w:rsidRPr="00C14724">
        <w:rPr>
          <w:color w:val="000000"/>
          <w:sz w:val="18"/>
          <w:szCs w:val="18"/>
          <w:lang w:val="en-GB"/>
        </w:rPr>
        <w:t xml:space="preserve"> DMD.</w:t>
      </w:r>
      <w:r w:rsidR="00A9710C">
        <w:br w:type="column"/>
      </w:r>
      <w:r w:rsidR="00A9710C">
        <w:rPr>
          <w:color w:val="BF5A14"/>
        </w:rPr>
        <w:lastRenderedPageBreak/>
        <w:t>Image</w:t>
      </w:r>
    </w:p>
    <w:p w:rsidR="00AE3E37" w:rsidRDefault="00866CBB">
      <w:pPr>
        <w:pStyle w:val="Corpsdetexte"/>
        <w:spacing w:before="2"/>
        <w:rPr>
          <w:noProof/>
          <w:lang w:val="fr-FR" w:eastAsia="fr-FR"/>
        </w:rPr>
      </w:pPr>
      <w:r>
        <w:rPr>
          <w:noProof/>
          <w:lang w:val="fr-FR" w:eastAsia="fr-FR"/>
        </w:rPr>
        <w:drawing>
          <wp:inline distT="0" distB="0" distL="0" distR="0">
            <wp:extent cx="3165475" cy="1000760"/>
            <wp:effectExtent l="0" t="0" r="0" b="889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ynt-dys-TRPC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1000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6CBB" w:rsidRPr="000526D0" w:rsidRDefault="000526D0">
      <w:pPr>
        <w:pStyle w:val="Corpsdetexte"/>
        <w:spacing w:before="2"/>
        <w:rPr>
          <w:sz w:val="16"/>
          <w:szCs w:val="16"/>
        </w:rPr>
      </w:pPr>
      <w:proofErr w:type="gramStart"/>
      <w:r w:rsidRPr="000526D0">
        <w:rPr>
          <w:b/>
          <w:sz w:val="16"/>
          <w:szCs w:val="16"/>
        </w:rPr>
        <w:t>Fig.1</w:t>
      </w:r>
      <w:r w:rsidRPr="000526D0">
        <w:rPr>
          <w:sz w:val="16"/>
          <w:szCs w:val="16"/>
        </w:rPr>
        <w:t xml:space="preserve">  :</w:t>
      </w:r>
      <w:proofErr w:type="gramEnd"/>
      <w:r w:rsidRPr="000526D0">
        <w:rPr>
          <w:sz w:val="16"/>
          <w:szCs w:val="16"/>
        </w:rPr>
        <w:t xml:space="preserve"> The </w:t>
      </w:r>
      <w:proofErr w:type="spellStart"/>
      <w:r w:rsidRPr="000526D0">
        <w:rPr>
          <w:sz w:val="16"/>
          <w:szCs w:val="16"/>
        </w:rPr>
        <w:t>syntrophin</w:t>
      </w:r>
      <w:proofErr w:type="spellEnd"/>
      <w:r w:rsidRPr="000526D0">
        <w:rPr>
          <w:sz w:val="16"/>
          <w:szCs w:val="16"/>
        </w:rPr>
        <w:t xml:space="preserve">/dystrophin complex regulates calcium entries through TRPC1/4 channels as well as TRPV2 channels. In DMD the </w:t>
      </w:r>
      <w:r w:rsidR="00940BA2" w:rsidRPr="000526D0">
        <w:rPr>
          <w:sz w:val="16"/>
          <w:szCs w:val="16"/>
        </w:rPr>
        <w:t>absence</w:t>
      </w:r>
      <w:r w:rsidRPr="000526D0">
        <w:rPr>
          <w:sz w:val="16"/>
          <w:szCs w:val="16"/>
        </w:rPr>
        <w:t xml:space="preserve"> of the complex leads to </w:t>
      </w:r>
      <w:proofErr w:type="spellStart"/>
      <w:r w:rsidRPr="000526D0">
        <w:rPr>
          <w:sz w:val="16"/>
          <w:szCs w:val="16"/>
        </w:rPr>
        <w:t>overactivation</w:t>
      </w:r>
      <w:proofErr w:type="spellEnd"/>
      <w:r w:rsidRPr="000526D0">
        <w:rPr>
          <w:sz w:val="16"/>
          <w:szCs w:val="16"/>
        </w:rPr>
        <w:t xml:space="preserve"> of these channels and abnormal calcium entries, which participate to muscle necrosis in </w:t>
      </w:r>
      <w:proofErr w:type="spellStart"/>
      <w:r w:rsidRPr="000526D0">
        <w:rPr>
          <w:sz w:val="16"/>
          <w:szCs w:val="16"/>
        </w:rPr>
        <w:t>dystrophynopaties</w:t>
      </w:r>
      <w:proofErr w:type="spellEnd"/>
      <w:r w:rsidRPr="000526D0">
        <w:rPr>
          <w:sz w:val="16"/>
          <w:szCs w:val="16"/>
        </w:rPr>
        <w:t xml:space="preserve">. </w:t>
      </w:r>
      <w:r w:rsidRPr="000526D0">
        <w:rPr>
          <w:color w:val="000000"/>
          <w:sz w:val="16"/>
          <w:szCs w:val="16"/>
          <w:lang w:val="en-GB"/>
        </w:rPr>
        <w:t>This cation channels could offer new therapeutic pharmacological targets</w:t>
      </w:r>
      <w:r w:rsidR="00940BA2">
        <w:rPr>
          <w:color w:val="000000"/>
          <w:sz w:val="16"/>
          <w:szCs w:val="16"/>
          <w:lang w:val="en-GB"/>
        </w:rPr>
        <w:t>.</w:t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 w:rsidRPr="000526D0">
        <w:rPr>
          <w:rFonts w:ascii="Arial"/>
          <w:color w:val="BF5A14"/>
          <w:sz w:val="20"/>
        </w:rPr>
        <w:br/>
      </w:r>
      <w:r>
        <w:rPr>
          <w:rFonts w:ascii="Arial"/>
          <w:b/>
          <w:color w:val="BF5A14"/>
          <w:sz w:val="20"/>
        </w:rPr>
        <w:t>Recent Publications (minimum 5)</w:t>
      </w:r>
    </w:p>
    <w:p w:rsidR="005973B9" w:rsidRPr="00C14724" w:rsidRDefault="00C14724" w:rsidP="005973B9">
      <w:pPr>
        <w:pStyle w:val="Paragraphedeliste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  <w:szCs w:val="18"/>
        </w:rPr>
      </w:pPr>
      <w:r w:rsidRPr="00C14724">
        <w:rPr>
          <w:sz w:val="18"/>
          <w:szCs w:val="18"/>
        </w:rPr>
        <w:t xml:space="preserve">E. </w:t>
      </w:r>
      <w:proofErr w:type="spellStart"/>
      <w:r w:rsidRPr="00C14724">
        <w:rPr>
          <w:sz w:val="18"/>
          <w:szCs w:val="18"/>
        </w:rPr>
        <w:t>Aguettaz</w:t>
      </w:r>
      <w:proofErr w:type="spellEnd"/>
      <w:r w:rsidRPr="00C14724">
        <w:rPr>
          <w:sz w:val="18"/>
          <w:szCs w:val="18"/>
        </w:rPr>
        <w:t xml:space="preserve">, J.J. Lopez, A. </w:t>
      </w:r>
      <w:proofErr w:type="spellStart"/>
      <w:r w:rsidRPr="00C14724">
        <w:rPr>
          <w:sz w:val="18"/>
          <w:szCs w:val="18"/>
        </w:rPr>
        <w:t>Krezsiak</w:t>
      </w:r>
      <w:proofErr w:type="spellEnd"/>
      <w:r w:rsidRPr="00C14724">
        <w:rPr>
          <w:sz w:val="18"/>
          <w:szCs w:val="18"/>
        </w:rPr>
        <w:t xml:space="preserve">, L. </w:t>
      </w:r>
      <w:proofErr w:type="spellStart"/>
      <w:r w:rsidRPr="00C14724">
        <w:rPr>
          <w:sz w:val="18"/>
          <w:szCs w:val="18"/>
        </w:rPr>
        <w:t>Lipskaia</w:t>
      </w:r>
      <w:proofErr w:type="spellEnd"/>
      <w:r w:rsidRPr="00C14724">
        <w:rPr>
          <w:sz w:val="18"/>
          <w:szCs w:val="18"/>
        </w:rPr>
        <w:t xml:space="preserve">, R. </w:t>
      </w:r>
      <w:proofErr w:type="spellStart"/>
      <w:r w:rsidRPr="00C14724">
        <w:rPr>
          <w:sz w:val="18"/>
          <w:szCs w:val="18"/>
        </w:rPr>
        <w:t>Hajjar</w:t>
      </w:r>
      <w:proofErr w:type="spellEnd"/>
      <w:r w:rsidRPr="00C14724">
        <w:rPr>
          <w:sz w:val="18"/>
          <w:szCs w:val="18"/>
        </w:rPr>
        <w:t xml:space="preserve">, C. </w:t>
      </w:r>
      <w:proofErr w:type="spellStart"/>
      <w:r w:rsidRPr="00C14724">
        <w:rPr>
          <w:sz w:val="18"/>
          <w:szCs w:val="18"/>
        </w:rPr>
        <w:t>Cognard</w:t>
      </w:r>
      <w:proofErr w:type="spellEnd"/>
      <w:r w:rsidRPr="00C14724">
        <w:rPr>
          <w:sz w:val="18"/>
          <w:szCs w:val="18"/>
        </w:rPr>
        <w:t xml:space="preserve">, </w:t>
      </w:r>
      <w:r w:rsidRPr="00C14724">
        <w:rPr>
          <w:sz w:val="18"/>
          <w:szCs w:val="18"/>
          <w:u w:val="single"/>
        </w:rPr>
        <w:t>B. Constantin</w:t>
      </w:r>
      <w:r w:rsidRPr="00C14724">
        <w:rPr>
          <w:sz w:val="18"/>
          <w:szCs w:val="18"/>
        </w:rPr>
        <w:t xml:space="preserve">, and S. </w:t>
      </w:r>
      <w:proofErr w:type="spellStart"/>
      <w:r w:rsidRPr="00C14724">
        <w:rPr>
          <w:sz w:val="18"/>
          <w:szCs w:val="18"/>
        </w:rPr>
        <w:t>Sebille</w:t>
      </w:r>
      <w:proofErr w:type="spellEnd"/>
      <w:r w:rsidRPr="00C14724">
        <w:rPr>
          <w:sz w:val="18"/>
          <w:szCs w:val="18"/>
        </w:rPr>
        <w:t xml:space="preserve">. (2016)  </w:t>
      </w:r>
      <w:proofErr w:type="gramStart"/>
      <w:r w:rsidRPr="00C14724">
        <w:rPr>
          <w:sz w:val="18"/>
          <w:szCs w:val="18"/>
        </w:rPr>
        <w:t>Axial</w:t>
      </w:r>
      <w:proofErr w:type="gramEnd"/>
      <w:r w:rsidRPr="00C14724">
        <w:rPr>
          <w:sz w:val="18"/>
          <w:szCs w:val="18"/>
        </w:rPr>
        <w:t xml:space="preserve"> stretch-dependent calcium entry in dystrophic cardiomyopathy: involvement of several TRPs channels. Cell Calcium. </w:t>
      </w:r>
      <w:r>
        <w:rPr>
          <w:sz w:val="18"/>
          <w:szCs w:val="18"/>
        </w:rPr>
        <w:t>59</w:t>
      </w:r>
      <w:r w:rsidRPr="00C14724">
        <w:rPr>
          <w:sz w:val="18"/>
          <w:szCs w:val="18"/>
        </w:rPr>
        <w:t>:145-55.</w:t>
      </w:r>
    </w:p>
    <w:p w:rsidR="00C14724" w:rsidRDefault="00C14724" w:rsidP="005973B9">
      <w:pPr>
        <w:pStyle w:val="Paragraphedeliste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proofErr w:type="spellStart"/>
      <w:r w:rsidRPr="00C14724">
        <w:rPr>
          <w:sz w:val="18"/>
          <w:szCs w:val="18"/>
        </w:rPr>
        <w:t>Harisseh</w:t>
      </w:r>
      <w:proofErr w:type="spellEnd"/>
      <w:r w:rsidRPr="00C14724">
        <w:rPr>
          <w:sz w:val="18"/>
          <w:szCs w:val="18"/>
        </w:rPr>
        <w:t xml:space="preserve"> R., </w:t>
      </w:r>
      <w:proofErr w:type="spellStart"/>
      <w:r w:rsidRPr="00C14724">
        <w:rPr>
          <w:sz w:val="18"/>
          <w:szCs w:val="18"/>
        </w:rPr>
        <w:t>Chatelier</w:t>
      </w:r>
      <w:proofErr w:type="spellEnd"/>
      <w:r w:rsidRPr="00C14724">
        <w:rPr>
          <w:sz w:val="18"/>
          <w:szCs w:val="18"/>
        </w:rPr>
        <w:t xml:space="preserve"> A., </w:t>
      </w:r>
      <w:proofErr w:type="spellStart"/>
      <w:r w:rsidRPr="00C14724">
        <w:rPr>
          <w:sz w:val="18"/>
          <w:szCs w:val="18"/>
        </w:rPr>
        <w:t>Magaud</w:t>
      </w:r>
      <w:proofErr w:type="spellEnd"/>
      <w:r w:rsidRPr="00C14724">
        <w:rPr>
          <w:sz w:val="18"/>
          <w:szCs w:val="18"/>
        </w:rPr>
        <w:t xml:space="preserve"> C., </w:t>
      </w:r>
      <w:proofErr w:type="spellStart"/>
      <w:r w:rsidRPr="00C14724">
        <w:rPr>
          <w:sz w:val="18"/>
          <w:szCs w:val="18"/>
        </w:rPr>
        <w:t>Déliot</w:t>
      </w:r>
      <w:proofErr w:type="spellEnd"/>
      <w:r w:rsidRPr="00C14724">
        <w:rPr>
          <w:sz w:val="18"/>
          <w:szCs w:val="18"/>
        </w:rPr>
        <w:t xml:space="preserve"> N. And </w:t>
      </w:r>
      <w:r w:rsidRPr="00C14724">
        <w:rPr>
          <w:sz w:val="18"/>
          <w:szCs w:val="18"/>
          <w:u w:val="single"/>
        </w:rPr>
        <w:t>Constantin B.</w:t>
      </w:r>
      <w:r w:rsidRPr="00C14724">
        <w:rPr>
          <w:sz w:val="18"/>
          <w:szCs w:val="18"/>
        </w:rPr>
        <w:t xml:space="preserve"> (2013) Involvement of TRPV2 and SOCE in calcium influx disorder in DMD primary human </w:t>
      </w:r>
      <w:proofErr w:type="spellStart"/>
      <w:r w:rsidRPr="00C14724">
        <w:rPr>
          <w:sz w:val="18"/>
          <w:szCs w:val="18"/>
        </w:rPr>
        <w:t>myotubes</w:t>
      </w:r>
      <w:proofErr w:type="spellEnd"/>
      <w:r w:rsidRPr="00C14724">
        <w:rPr>
          <w:sz w:val="18"/>
          <w:szCs w:val="18"/>
        </w:rPr>
        <w:t xml:space="preserve"> with a specific contribution of α1-syntrophin and PLC/PKC in SOCE regulation. American Journal of Physiology – Cell Physiology</w:t>
      </w:r>
      <w:r>
        <w:rPr>
          <w:sz w:val="18"/>
          <w:szCs w:val="18"/>
        </w:rPr>
        <w:t xml:space="preserve"> 304</w:t>
      </w:r>
      <w:r w:rsidRPr="00C14724">
        <w:rPr>
          <w:sz w:val="18"/>
          <w:szCs w:val="18"/>
        </w:rPr>
        <w:t>:C881-94.</w:t>
      </w:r>
    </w:p>
    <w:p w:rsidR="005973B9" w:rsidRDefault="00C14724" w:rsidP="005973B9">
      <w:pPr>
        <w:pStyle w:val="Paragraphedeliste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  <w:szCs w:val="18"/>
        </w:rPr>
      </w:pPr>
      <w:proofErr w:type="spellStart"/>
      <w:r w:rsidRPr="00C14724">
        <w:rPr>
          <w:sz w:val="18"/>
          <w:szCs w:val="18"/>
        </w:rPr>
        <w:t>Sabourin</w:t>
      </w:r>
      <w:proofErr w:type="spellEnd"/>
      <w:r w:rsidRPr="00C14724">
        <w:rPr>
          <w:sz w:val="18"/>
          <w:szCs w:val="18"/>
        </w:rPr>
        <w:t xml:space="preserve"> J., </w:t>
      </w:r>
      <w:proofErr w:type="spellStart"/>
      <w:r w:rsidRPr="00C14724">
        <w:rPr>
          <w:sz w:val="18"/>
          <w:szCs w:val="18"/>
        </w:rPr>
        <w:t>Harisseh</w:t>
      </w:r>
      <w:proofErr w:type="spellEnd"/>
      <w:r w:rsidRPr="00C14724">
        <w:rPr>
          <w:sz w:val="18"/>
          <w:szCs w:val="18"/>
        </w:rPr>
        <w:t xml:space="preserve"> R., </w:t>
      </w:r>
      <w:proofErr w:type="spellStart"/>
      <w:r w:rsidRPr="00C14724">
        <w:rPr>
          <w:sz w:val="18"/>
          <w:szCs w:val="18"/>
        </w:rPr>
        <w:t>Harnois</w:t>
      </w:r>
      <w:proofErr w:type="spellEnd"/>
      <w:r w:rsidRPr="00C14724">
        <w:rPr>
          <w:sz w:val="18"/>
          <w:szCs w:val="18"/>
        </w:rPr>
        <w:t xml:space="preserve"> T., </w:t>
      </w:r>
      <w:proofErr w:type="spellStart"/>
      <w:r w:rsidRPr="00C14724">
        <w:rPr>
          <w:sz w:val="18"/>
          <w:szCs w:val="18"/>
        </w:rPr>
        <w:t>Magaud</w:t>
      </w:r>
      <w:proofErr w:type="spellEnd"/>
      <w:r w:rsidRPr="00C14724">
        <w:rPr>
          <w:sz w:val="18"/>
          <w:szCs w:val="18"/>
        </w:rPr>
        <w:t xml:space="preserve"> C., </w:t>
      </w:r>
      <w:proofErr w:type="spellStart"/>
      <w:r w:rsidRPr="00C14724">
        <w:rPr>
          <w:sz w:val="18"/>
          <w:szCs w:val="18"/>
        </w:rPr>
        <w:t>Bourmeyster</w:t>
      </w:r>
      <w:proofErr w:type="spellEnd"/>
      <w:r w:rsidRPr="00C14724">
        <w:rPr>
          <w:sz w:val="18"/>
          <w:szCs w:val="18"/>
        </w:rPr>
        <w:t xml:space="preserve"> N., </w:t>
      </w:r>
      <w:proofErr w:type="spellStart"/>
      <w:r w:rsidRPr="00C14724">
        <w:rPr>
          <w:sz w:val="18"/>
          <w:szCs w:val="18"/>
        </w:rPr>
        <w:t>Déliot</w:t>
      </w:r>
      <w:proofErr w:type="spellEnd"/>
      <w:r w:rsidRPr="00C14724">
        <w:rPr>
          <w:sz w:val="18"/>
          <w:szCs w:val="18"/>
        </w:rPr>
        <w:t xml:space="preserve"> N. and</w:t>
      </w:r>
      <w:r w:rsidRPr="00C14724">
        <w:rPr>
          <w:sz w:val="18"/>
          <w:szCs w:val="18"/>
          <w:u w:val="single"/>
        </w:rPr>
        <w:t xml:space="preserve"> Constantin B.</w:t>
      </w:r>
      <w:r w:rsidRPr="00C14724">
        <w:rPr>
          <w:sz w:val="18"/>
          <w:szCs w:val="18"/>
          <w:vertAlign w:val="superscript"/>
        </w:rPr>
        <w:t xml:space="preserve"> </w:t>
      </w:r>
      <w:r w:rsidRPr="00C14724">
        <w:rPr>
          <w:sz w:val="18"/>
          <w:szCs w:val="18"/>
        </w:rPr>
        <w:t xml:space="preserve"> (2012) Dystrophin/Alpha1-syntrophin scaffold regulated PLC/PKC-dependent store-operated calcium entry in </w:t>
      </w:r>
      <w:proofErr w:type="spellStart"/>
      <w:r w:rsidRPr="00C14724">
        <w:rPr>
          <w:sz w:val="18"/>
          <w:szCs w:val="18"/>
        </w:rPr>
        <w:t>myotubes</w:t>
      </w:r>
      <w:proofErr w:type="spellEnd"/>
      <w:r w:rsidRPr="00C14724">
        <w:rPr>
          <w:sz w:val="18"/>
          <w:szCs w:val="18"/>
        </w:rPr>
        <w:t xml:space="preserve">. Cell Calcium. </w:t>
      </w:r>
      <w:r>
        <w:rPr>
          <w:sz w:val="18"/>
          <w:szCs w:val="18"/>
        </w:rPr>
        <w:t>52</w:t>
      </w:r>
      <w:r w:rsidRPr="00C14724">
        <w:rPr>
          <w:sz w:val="18"/>
          <w:szCs w:val="18"/>
        </w:rPr>
        <w:t>:445-56.</w:t>
      </w:r>
    </w:p>
    <w:p w:rsidR="005D48D6" w:rsidRPr="005D48D6" w:rsidRDefault="005D48D6" w:rsidP="005973B9">
      <w:pPr>
        <w:pStyle w:val="Paragraphedeliste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  <w:szCs w:val="18"/>
        </w:rPr>
      </w:pPr>
      <w:proofErr w:type="spellStart"/>
      <w:r w:rsidRPr="005D48D6">
        <w:rPr>
          <w:sz w:val="18"/>
          <w:szCs w:val="18"/>
        </w:rPr>
        <w:t>Sabourin</w:t>
      </w:r>
      <w:proofErr w:type="spellEnd"/>
      <w:r w:rsidRPr="005D48D6">
        <w:rPr>
          <w:sz w:val="18"/>
          <w:szCs w:val="18"/>
        </w:rPr>
        <w:t xml:space="preserve"> J., </w:t>
      </w:r>
      <w:proofErr w:type="spellStart"/>
      <w:r w:rsidRPr="005D48D6">
        <w:rPr>
          <w:sz w:val="18"/>
          <w:szCs w:val="18"/>
        </w:rPr>
        <w:t>Lamiche</w:t>
      </w:r>
      <w:proofErr w:type="spellEnd"/>
      <w:r w:rsidRPr="005D48D6">
        <w:rPr>
          <w:sz w:val="18"/>
          <w:szCs w:val="18"/>
        </w:rPr>
        <w:t xml:space="preserve"> C., </w:t>
      </w:r>
      <w:proofErr w:type="spellStart"/>
      <w:r w:rsidRPr="005D48D6">
        <w:rPr>
          <w:sz w:val="18"/>
          <w:szCs w:val="18"/>
        </w:rPr>
        <w:t>Vandebrouck</w:t>
      </w:r>
      <w:proofErr w:type="spellEnd"/>
      <w:r w:rsidRPr="005D48D6">
        <w:rPr>
          <w:sz w:val="18"/>
          <w:szCs w:val="18"/>
        </w:rPr>
        <w:t xml:space="preserve"> A., </w:t>
      </w:r>
      <w:proofErr w:type="spellStart"/>
      <w:r w:rsidRPr="005D48D6">
        <w:rPr>
          <w:sz w:val="18"/>
          <w:szCs w:val="18"/>
        </w:rPr>
        <w:t>Magaud</w:t>
      </w:r>
      <w:proofErr w:type="spellEnd"/>
      <w:r w:rsidRPr="005D48D6">
        <w:rPr>
          <w:sz w:val="18"/>
          <w:szCs w:val="18"/>
        </w:rPr>
        <w:t xml:space="preserve"> C., Rivet J., </w:t>
      </w:r>
      <w:proofErr w:type="spellStart"/>
      <w:r w:rsidRPr="005D48D6">
        <w:rPr>
          <w:sz w:val="18"/>
          <w:szCs w:val="18"/>
        </w:rPr>
        <w:t>Cognard</w:t>
      </w:r>
      <w:proofErr w:type="spellEnd"/>
      <w:r w:rsidRPr="005D48D6">
        <w:rPr>
          <w:sz w:val="18"/>
          <w:szCs w:val="18"/>
        </w:rPr>
        <w:t xml:space="preserve"> C., </w:t>
      </w:r>
      <w:proofErr w:type="spellStart"/>
      <w:r w:rsidRPr="005D48D6">
        <w:rPr>
          <w:sz w:val="18"/>
          <w:szCs w:val="18"/>
        </w:rPr>
        <w:t>Bourmeyster</w:t>
      </w:r>
      <w:proofErr w:type="spellEnd"/>
      <w:r w:rsidRPr="005D48D6">
        <w:rPr>
          <w:sz w:val="18"/>
          <w:szCs w:val="18"/>
        </w:rPr>
        <w:t xml:space="preserve"> N., </w:t>
      </w:r>
      <w:r w:rsidRPr="005D48D6">
        <w:rPr>
          <w:sz w:val="18"/>
          <w:szCs w:val="18"/>
          <w:u w:val="single"/>
        </w:rPr>
        <w:t>Constantin B.</w:t>
      </w:r>
      <w:r w:rsidRPr="005D48D6">
        <w:rPr>
          <w:sz w:val="18"/>
          <w:szCs w:val="18"/>
        </w:rPr>
        <w:t xml:space="preserve"> (2009) </w:t>
      </w:r>
      <w:r w:rsidRPr="005D48D6">
        <w:rPr>
          <w:rFonts w:eastAsia="Times New Roman"/>
          <w:sz w:val="18"/>
          <w:szCs w:val="18"/>
        </w:rPr>
        <w:t>Regulation of TRPC1 and TRPC4 cation channels requires an alpha-</w:t>
      </w:r>
      <w:proofErr w:type="spellStart"/>
      <w:r w:rsidRPr="005D48D6">
        <w:rPr>
          <w:rFonts w:eastAsia="Times New Roman"/>
          <w:sz w:val="18"/>
          <w:szCs w:val="18"/>
        </w:rPr>
        <w:t>syntrophin</w:t>
      </w:r>
      <w:proofErr w:type="spellEnd"/>
      <w:r w:rsidRPr="005D48D6">
        <w:rPr>
          <w:rFonts w:eastAsia="Times New Roman"/>
          <w:sz w:val="18"/>
          <w:szCs w:val="18"/>
        </w:rPr>
        <w:t xml:space="preserve">-dependent complex in skeletal mouse </w:t>
      </w:r>
      <w:proofErr w:type="spellStart"/>
      <w:r w:rsidRPr="005D48D6">
        <w:rPr>
          <w:rFonts w:eastAsia="Times New Roman"/>
          <w:sz w:val="18"/>
          <w:szCs w:val="18"/>
        </w:rPr>
        <w:t>myotubes</w:t>
      </w:r>
      <w:proofErr w:type="spellEnd"/>
      <w:r w:rsidRPr="005D48D6">
        <w:rPr>
          <w:rFonts w:eastAsia="Times New Roman"/>
          <w:sz w:val="18"/>
          <w:szCs w:val="18"/>
        </w:rPr>
        <w:t xml:space="preserve">. J. Biol. Chem.; </w:t>
      </w:r>
      <w:r w:rsidRPr="005D48D6">
        <w:rPr>
          <w:rStyle w:val="src"/>
          <w:sz w:val="18"/>
          <w:szCs w:val="18"/>
        </w:rPr>
        <w:t>284:36248-61.</w:t>
      </w:r>
    </w:p>
    <w:p w:rsidR="005973B9" w:rsidRDefault="005973B9" w:rsidP="005973B9">
      <w:pPr>
        <w:pStyle w:val="Corpsdetexte"/>
        <w:spacing w:before="85" w:line="216" w:lineRule="exact"/>
        <w:ind w:left="383" w:right="138" w:hanging="284"/>
        <w:jc w:val="both"/>
        <w:rPr>
          <w:rFonts w:ascii="Calibri" w:hAnsi="Calibri"/>
        </w:rPr>
      </w:pPr>
      <w:r>
        <w:rPr>
          <w:rFonts w:ascii="Calibri" w:hAnsi="Calibri"/>
        </w:rPr>
        <w:t xml:space="preserve">5. </w:t>
      </w:r>
      <w:proofErr w:type="spellStart"/>
      <w:r w:rsidR="005D48D6" w:rsidRPr="005D48D6">
        <w:rPr>
          <w:rFonts w:asciiTheme="minorHAnsi" w:hAnsiTheme="minorHAnsi"/>
          <w:bCs/>
          <w:lang w:val="en-GB"/>
        </w:rPr>
        <w:t>Vandebrouck</w:t>
      </w:r>
      <w:proofErr w:type="spellEnd"/>
      <w:r w:rsidR="005D48D6" w:rsidRPr="005D48D6">
        <w:rPr>
          <w:rFonts w:asciiTheme="minorHAnsi" w:hAnsiTheme="minorHAnsi"/>
          <w:bCs/>
          <w:lang w:val="en-GB"/>
        </w:rPr>
        <w:t xml:space="preserve"> A., </w:t>
      </w:r>
      <w:proofErr w:type="spellStart"/>
      <w:r w:rsidR="005D48D6" w:rsidRPr="005D48D6">
        <w:rPr>
          <w:rFonts w:asciiTheme="minorHAnsi" w:hAnsiTheme="minorHAnsi"/>
          <w:bCs/>
          <w:lang w:val="en-GB"/>
        </w:rPr>
        <w:t>Sabourin</w:t>
      </w:r>
      <w:proofErr w:type="spellEnd"/>
      <w:r w:rsidR="005D48D6" w:rsidRPr="005D48D6">
        <w:rPr>
          <w:rFonts w:asciiTheme="minorHAnsi" w:hAnsiTheme="minorHAnsi"/>
          <w:bCs/>
          <w:lang w:val="en-GB"/>
        </w:rPr>
        <w:t xml:space="preserve"> J., Rivet J., </w:t>
      </w:r>
      <w:proofErr w:type="spellStart"/>
      <w:r w:rsidR="005D48D6" w:rsidRPr="005D48D6">
        <w:rPr>
          <w:rFonts w:asciiTheme="minorHAnsi" w:hAnsiTheme="minorHAnsi"/>
          <w:bCs/>
          <w:lang w:val="en-GB"/>
        </w:rPr>
        <w:t>Balghi</w:t>
      </w:r>
      <w:proofErr w:type="spellEnd"/>
      <w:r w:rsidR="005D48D6" w:rsidRPr="005D48D6">
        <w:rPr>
          <w:rFonts w:asciiTheme="minorHAnsi" w:hAnsiTheme="minorHAnsi"/>
          <w:bCs/>
          <w:lang w:val="en-GB"/>
        </w:rPr>
        <w:t xml:space="preserve"> H., </w:t>
      </w:r>
      <w:proofErr w:type="spellStart"/>
      <w:r w:rsidR="005D48D6" w:rsidRPr="005D48D6">
        <w:rPr>
          <w:rFonts w:asciiTheme="minorHAnsi" w:hAnsiTheme="minorHAnsi"/>
          <w:bCs/>
          <w:lang w:val="en-GB"/>
        </w:rPr>
        <w:t>Sebille</w:t>
      </w:r>
      <w:proofErr w:type="spellEnd"/>
      <w:r w:rsidR="005D48D6" w:rsidRPr="005D48D6">
        <w:rPr>
          <w:rFonts w:asciiTheme="minorHAnsi" w:hAnsiTheme="minorHAnsi"/>
          <w:bCs/>
          <w:lang w:val="en-GB"/>
        </w:rPr>
        <w:t xml:space="preserve"> S., </w:t>
      </w:r>
      <w:proofErr w:type="spellStart"/>
      <w:r w:rsidR="005D48D6" w:rsidRPr="005D48D6">
        <w:rPr>
          <w:rFonts w:asciiTheme="minorHAnsi" w:hAnsiTheme="minorHAnsi"/>
          <w:bCs/>
          <w:lang w:val="en-GB"/>
        </w:rPr>
        <w:t>Kitzis</w:t>
      </w:r>
      <w:proofErr w:type="spellEnd"/>
      <w:r w:rsidR="005D48D6" w:rsidRPr="005D48D6">
        <w:rPr>
          <w:rFonts w:asciiTheme="minorHAnsi" w:hAnsiTheme="minorHAnsi"/>
          <w:bCs/>
          <w:lang w:val="en-GB"/>
        </w:rPr>
        <w:t xml:space="preserve"> A., Raymond G., </w:t>
      </w:r>
      <w:proofErr w:type="spellStart"/>
      <w:r w:rsidR="005D48D6" w:rsidRPr="005D48D6">
        <w:rPr>
          <w:rFonts w:asciiTheme="minorHAnsi" w:hAnsiTheme="minorHAnsi"/>
          <w:bCs/>
          <w:lang w:val="en-GB"/>
        </w:rPr>
        <w:t>Cognard</w:t>
      </w:r>
      <w:proofErr w:type="spellEnd"/>
      <w:r w:rsidR="005D48D6" w:rsidRPr="005D48D6">
        <w:rPr>
          <w:rFonts w:asciiTheme="minorHAnsi" w:hAnsiTheme="minorHAnsi"/>
          <w:bCs/>
          <w:lang w:val="en-GB"/>
        </w:rPr>
        <w:t xml:space="preserve"> C., </w:t>
      </w:r>
      <w:proofErr w:type="spellStart"/>
      <w:r w:rsidR="005D48D6" w:rsidRPr="005D48D6">
        <w:rPr>
          <w:rFonts w:asciiTheme="minorHAnsi" w:hAnsiTheme="minorHAnsi"/>
          <w:bCs/>
          <w:lang w:val="en-GB"/>
        </w:rPr>
        <w:t>Bourmeyster</w:t>
      </w:r>
      <w:proofErr w:type="spellEnd"/>
      <w:r w:rsidR="005D48D6" w:rsidRPr="005D48D6">
        <w:rPr>
          <w:rFonts w:asciiTheme="minorHAnsi" w:hAnsiTheme="minorHAnsi"/>
          <w:bCs/>
          <w:lang w:val="en-GB"/>
        </w:rPr>
        <w:t xml:space="preserve"> N. and </w:t>
      </w:r>
      <w:r w:rsidR="005D48D6" w:rsidRPr="005D48D6">
        <w:rPr>
          <w:rFonts w:asciiTheme="minorHAnsi" w:hAnsiTheme="minorHAnsi"/>
          <w:bCs/>
          <w:u w:val="single"/>
          <w:lang w:val="en-GB"/>
        </w:rPr>
        <w:t>Constantin B.</w:t>
      </w:r>
      <w:r w:rsidR="005D48D6" w:rsidRPr="005D48D6">
        <w:rPr>
          <w:rFonts w:asciiTheme="minorHAnsi" w:hAnsiTheme="minorHAnsi"/>
          <w:lang w:val="en-GB"/>
        </w:rPr>
        <w:t xml:space="preserve"> (2007) Regulation of </w:t>
      </w:r>
      <w:r w:rsidR="005D48D6" w:rsidRPr="005D48D6">
        <w:rPr>
          <w:rFonts w:asciiTheme="minorHAnsi" w:hAnsiTheme="minorHAnsi"/>
          <w:caps/>
          <w:lang w:val="en-GB"/>
        </w:rPr>
        <w:t>c</w:t>
      </w:r>
      <w:r w:rsidR="005D48D6" w:rsidRPr="005D48D6">
        <w:rPr>
          <w:rFonts w:asciiTheme="minorHAnsi" w:hAnsiTheme="minorHAnsi"/>
          <w:lang w:val="en-GB"/>
        </w:rPr>
        <w:t xml:space="preserve">apacitive </w:t>
      </w:r>
      <w:r w:rsidR="005D48D6" w:rsidRPr="005D48D6">
        <w:rPr>
          <w:rFonts w:asciiTheme="minorHAnsi" w:hAnsiTheme="minorHAnsi"/>
          <w:caps/>
          <w:lang w:val="en-GB"/>
        </w:rPr>
        <w:t>c</w:t>
      </w:r>
      <w:r w:rsidR="005D48D6" w:rsidRPr="005D48D6">
        <w:rPr>
          <w:rFonts w:asciiTheme="minorHAnsi" w:hAnsiTheme="minorHAnsi"/>
          <w:lang w:val="en-GB"/>
        </w:rPr>
        <w:t xml:space="preserve">alcium </w:t>
      </w:r>
      <w:r w:rsidR="005D48D6" w:rsidRPr="005D48D6">
        <w:rPr>
          <w:rFonts w:asciiTheme="minorHAnsi" w:hAnsiTheme="minorHAnsi"/>
          <w:caps/>
          <w:lang w:val="en-GB"/>
        </w:rPr>
        <w:t>e</w:t>
      </w:r>
      <w:r w:rsidR="005D48D6" w:rsidRPr="005D48D6">
        <w:rPr>
          <w:rFonts w:asciiTheme="minorHAnsi" w:hAnsiTheme="minorHAnsi"/>
          <w:lang w:val="en-GB"/>
        </w:rPr>
        <w:t xml:space="preserve">ntry by </w:t>
      </w:r>
      <w:r w:rsidR="005D48D6" w:rsidRPr="005D48D6">
        <w:rPr>
          <w:rFonts w:asciiTheme="minorHAnsi" w:hAnsiTheme="minorHAnsi"/>
          <w:lang w:val="en-GB"/>
        </w:rPr>
        <w:sym w:font="Symbol" w:char="F061"/>
      </w:r>
      <w:r w:rsidR="005D48D6" w:rsidRPr="005D48D6">
        <w:rPr>
          <w:rFonts w:asciiTheme="minorHAnsi" w:hAnsiTheme="minorHAnsi"/>
          <w:lang w:val="en-GB"/>
        </w:rPr>
        <w:t xml:space="preserve">1-syntrophin: association of TRPC1 with dystrophin complex and the PDZ domain of  </w:t>
      </w:r>
      <w:r w:rsidR="005D48D6" w:rsidRPr="005D48D6">
        <w:rPr>
          <w:rFonts w:asciiTheme="minorHAnsi" w:hAnsiTheme="minorHAnsi"/>
          <w:lang w:val="en-GB"/>
        </w:rPr>
        <w:sym w:font="Symbol" w:char="F061"/>
      </w:r>
      <w:r w:rsidR="005D48D6" w:rsidRPr="005D48D6">
        <w:rPr>
          <w:rFonts w:asciiTheme="minorHAnsi" w:hAnsiTheme="minorHAnsi"/>
          <w:lang w:val="en-GB"/>
        </w:rPr>
        <w:t xml:space="preserve">1-syntrophin. </w:t>
      </w:r>
      <w:r w:rsidR="005D48D6" w:rsidRPr="005D48D6">
        <w:rPr>
          <w:rFonts w:asciiTheme="minorHAnsi" w:hAnsiTheme="minorHAnsi"/>
        </w:rPr>
        <w:t xml:space="preserve">FASEB </w:t>
      </w:r>
      <w:r w:rsidR="005D48D6" w:rsidRPr="005D48D6">
        <w:rPr>
          <w:rStyle w:val="src"/>
          <w:rFonts w:asciiTheme="minorHAnsi" w:hAnsiTheme="minorHAnsi"/>
        </w:rPr>
        <w:t>21:608-17.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292ED9">
      <w:pPr>
        <w:pStyle w:val="Corpsdetexte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fr-FR" w:eastAsia="fr-FR"/>
        </w:rPr>
        <w:lastRenderedPageBreak/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563E67">
        <w:rPr>
          <w:noProof/>
          <w:lang w:val="fr-FR" w:eastAsia="fr-FR"/>
        </w:rPr>
        <w:drawing>
          <wp:inline distT="0" distB="0" distL="0" distR="0">
            <wp:extent cx="548640" cy="618991"/>
            <wp:effectExtent l="0" t="0" r="3810" b="0"/>
            <wp:docPr id="2" name="Image 2" descr="Bruno CONSTANT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runo CONSTANTIN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554" cy="618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Default="005D48D6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bookmarkStart w:id="0" w:name="_GoBack"/>
      <w:r>
        <w:rPr>
          <w:rFonts w:ascii="Arial"/>
          <w:sz w:val="14"/>
        </w:rPr>
        <w:t>Bruno Constantin</w:t>
      </w:r>
      <w:r w:rsidR="00A9710C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 xml:space="preserve">is Research Director at CNRS and </w:t>
      </w:r>
      <w:r w:rsidR="00A9710C">
        <w:rPr>
          <w:rFonts w:ascii="Arial"/>
          <w:sz w:val="14"/>
        </w:rPr>
        <w:t>has h</w:t>
      </w:r>
      <w:r>
        <w:rPr>
          <w:rFonts w:ascii="Arial"/>
          <w:sz w:val="14"/>
        </w:rPr>
        <w:t>is</w:t>
      </w:r>
      <w:r w:rsidR="00A9710C">
        <w:rPr>
          <w:rFonts w:ascii="Arial"/>
          <w:sz w:val="14"/>
        </w:rPr>
        <w:t xml:space="preserve"> expertise in </w:t>
      </w:r>
      <w:r>
        <w:rPr>
          <w:rFonts w:ascii="Arial"/>
          <w:sz w:val="14"/>
        </w:rPr>
        <w:t>electrophysiology</w:t>
      </w:r>
      <w:r w:rsidR="00563E67">
        <w:rPr>
          <w:rFonts w:ascii="Arial"/>
          <w:sz w:val="14"/>
        </w:rPr>
        <w:t>, cell biology</w:t>
      </w:r>
      <w:r>
        <w:rPr>
          <w:rFonts w:ascii="Arial"/>
          <w:sz w:val="14"/>
        </w:rPr>
        <w:t xml:space="preserve"> and calcium</w:t>
      </w:r>
      <w:r w:rsidR="00866CBB">
        <w:rPr>
          <w:rFonts w:ascii="Arial"/>
          <w:sz w:val="14"/>
        </w:rPr>
        <w:t xml:space="preserve"> channels and</w:t>
      </w:r>
      <w:r>
        <w:rPr>
          <w:rFonts w:ascii="Arial"/>
          <w:sz w:val="14"/>
        </w:rPr>
        <w:t xml:space="preserve"> signaling.</w:t>
      </w:r>
      <w:r w:rsidR="00D17028">
        <w:rPr>
          <w:rFonts w:ascii="Arial"/>
          <w:sz w:val="14"/>
        </w:rPr>
        <w:t xml:space="preserve"> He worked on calcium signaling during skeletal muscle development during its </w:t>
      </w:r>
      <w:proofErr w:type="spellStart"/>
      <w:proofErr w:type="gramStart"/>
      <w:r w:rsidR="00D17028">
        <w:rPr>
          <w:rFonts w:ascii="Arial"/>
          <w:sz w:val="14"/>
        </w:rPr>
        <w:t>phD</w:t>
      </w:r>
      <w:proofErr w:type="spellEnd"/>
      <w:proofErr w:type="gramEnd"/>
      <w:r w:rsidR="00D17028">
        <w:rPr>
          <w:rFonts w:ascii="Arial"/>
          <w:sz w:val="14"/>
        </w:rPr>
        <w:t xml:space="preserve"> thesis.</w:t>
      </w:r>
      <w:r>
        <w:rPr>
          <w:rFonts w:ascii="Arial"/>
          <w:sz w:val="14"/>
        </w:rPr>
        <w:t xml:space="preserve"> </w:t>
      </w:r>
      <w:r w:rsidR="00563E67">
        <w:rPr>
          <w:rFonts w:ascii="Arial"/>
          <w:sz w:val="14"/>
        </w:rPr>
        <w:t>He</w:t>
      </w:r>
      <w:r w:rsidR="00D17028">
        <w:rPr>
          <w:rFonts w:ascii="Arial"/>
          <w:sz w:val="14"/>
        </w:rPr>
        <w:t xml:space="preserve"> was recruited by CNRS in 1998 and</w:t>
      </w:r>
      <w:r w:rsidR="00563E67">
        <w:rPr>
          <w:rFonts w:ascii="Arial"/>
          <w:sz w:val="14"/>
        </w:rPr>
        <w:t xml:space="preserve"> has long studied the function of dystrophin in skeletal muscle and the mechanisms of calcium mishandling in Duchenne Muscular Dystrophy. His research was supported by AFM-Telethon in France, and </w:t>
      </w:r>
      <w:r w:rsidR="00866CBB">
        <w:rPr>
          <w:rFonts w:ascii="Arial"/>
          <w:sz w:val="14"/>
        </w:rPr>
        <w:t>t</w:t>
      </w:r>
      <w:r w:rsidR="00563E67">
        <w:rPr>
          <w:rFonts w:ascii="Arial"/>
          <w:sz w:val="14"/>
        </w:rPr>
        <w:t>his work highlighted the crucial role of TRP channels in the calcium alterations observed in DMD. He is nowadays the deputy director of STIM laboratory in Poitiers University</w:t>
      </w:r>
      <w:r w:rsidR="00866CBB">
        <w:rPr>
          <w:rFonts w:ascii="Arial"/>
          <w:sz w:val="14"/>
        </w:rPr>
        <w:t xml:space="preserve"> and founded a new team working on calcium channels and signaling in stem cells.</w:t>
      </w:r>
      <w:bookmarkEnd w:id="0"/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5D48D6" w:rsidRPr="00077792">
          <w:rPr>
            <w:rStyle w:val="Lienhypertexte"/>
            <w:rFonts w:ascii="Arial"/>
            <w:sz w:val="14"/>
          </w:rPr>
          <w:t>bruno.constantin@univ-poitiers.fr</w:t>
        </w:r>
      </w:hyperlink>
    </w:p>
    <w:p w:rsidR="00AE3E37" w:rsidRDefault="00292ED9">
      <w:pPr>
        <w:pStyle w:val="Corpsdetexte"/>
        <w:spacing w:before="2"/>
        <w:rPr>
          <w:rFonts w:ascii="Arial"/>
          <w:sz w:val="19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Corpsdetexte"/>
        <w:rPr>
          <w:rFonts w:ascii="Arial"/>
          <w:sz w:val="20"/>
        </w:rPr>
      </w:pPr>
    </w:p>
    <w:p w:rsidR="00AE3E37" w:rsidRDefault="00AE3E37">
      <w:pPr>
        <w:pStyle w:val="Corpsdetexte"/>
        <w:rPr>
          <w:rFonts w:ascii="Arial"/>
          <w:sz w:val="20"/>
        </w:rPr>
      </w:pPr>
    </w:p>
    <w:p w:rsidR="00AE3E37" w:rsidRDefault="00AE3E37">
      <w:pPr>
        <w:pStyle w:val="Corpsdetexte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lastRenderedPageBreak/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Corpsdetexte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3058" w:rsidRDefault="00ED3058">
      <w:r>
        <w:separator/>
      </w:r>
    </w:p>
  </w:endnote>
  <w:endnote w:type="continuationSeparator" w:id="0">
    <w:p w:rsidR="00ED3058" w:rsidRDefault="00ED30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Corpsdetexte"/>
      <w:spacing w:line="14" w:lineRule="auto"/>
      <w:rPr>
        <w:sz w:val="20"/>
      </w:rPr>
    </w:pP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3058" w:rsidRDefault="00ED3058">
      <w:r>
        <w:separator/>
      </w:r>
    </w:p>
  </w:footnote>
  <w:footnote w:type="continuationSeparator" w:id="0">
    <w:p w:rsidR="00ED3058" w:rsidRDefault="00ED30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Corpsdetexte"/>
      <w:spacing w:line="14" w:lineRule="auto"/>
      <w:rPr>
        <w:sz w:val="20"/>
      </w:rPr>
    </w:pP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C14724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</w:pPr>
                          <w:r w:rsidRPr="00C14724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 xml:space="preserve">T Furuta et al., J Pai n Relief 2016, 5:3(Suppl) </w:t>
                          </w:r>
                          <w:r w:rsidR="00ED3058">
                            <w:fldChar w:fldCharType="begin"/>
                          </w:r>
                          <w:r w:rsidR="00ED3058" w:rsidRPr="00C14724">
                            <w:rPr>
                              <w:lang w:val="fr-FR"/>
                            </w:rPr>
                            <w:instrText xml:space="preserve"> HYPERLINK "http://dx.doi.org/10.4172/2167-0846.C1.006" \h </w:instrText>
                          </w:r>
                          <w:r w:rsidR="00ED3058">
                            <w:fldChar w:fldCharType="separate"/>
                          </w:r>
                          <w:r w:rsidRPr="00C14724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>http://dx.doi.org/10.4172/2167-0846.C1.006</w:t>
                          </w:r>
                          <w:r w:rsidR="00ED3058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C14724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</w:pPr>
                    <w:r w:rsidRPr="00C14724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 xml:space="preserve">T Furuta et al., J Pai n Relief 2016, 5:3(Suppl) </w:t>
                    </w:r>
                    <w:r w:rsidR="00ED3058">
                      <w:fldChar w:fldCharType="begin"/>
                    </w:r>
                    <w:r w:rsidR="00ED3058" w:rsidRPr="00C14724">
                      <w:rPr>
                        <w:lang w:val="fr-FR"/>
                      </w:rPr>
                      <w:instrText xml:space="preserve"> HYPERLINK "http://dx.doi.org/10.4172/2167-0846.C1.006" \h </w:instrText>
                    </w:r>
                    <w:r w:rsidR="00ED3058">
                      <w:fldChar w:fldCharType="separate"/>
                    </w:r>
                    <w:r w:rsidRPr="00C14724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>http://dx.doi.org/10.4172/2167-0846.C1.006</w:t>
                    </w:r>
                    <w:r w:rsidR="00ED3058">
                      <w:rPr>
                        <w:rFonts w:ascii="Arial"/>
                        <w:color w:val="FFFFFF" w:themeColor="background1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Corpsdetexte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Corpsdetexte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526D0"/>
    <w:rsid w:val="000E2911"/>
    <w:rsid w:val="001263DF"/>
    <w:rsid w:val="00292ED9"/>
    <w:rsid w:val="00404E5B"/>
    <w:rsid w:val="00414F7B"/>
    <w:rsid w:val="004355DC"/>
    <w:rsid w:val="004749B4"/>
    <w:rsid w:val="00494130"/>
    <w:rsid w:val="004F3523"/>
    <w:rsid w:val="00563E67"/>
    <w:rsid w:val="005973B9"/>
    <w:rsid w:val="005B3A56"/>
    <w:rsid w:val="005D48D6"/>
    <w:rsid w:val="006060CE"/>
    <w:rsid w:val="0063497F"/>
    <w:rsid w:val="006E5D02"/>
    <w:rsid w:val="00866CBB"/>
    <w:rsid w:val="00873DF0"/>
    <w:rsid w:val="008756E6"/>
    <w:rsid w:val="00880785"/>
    <w:rsid w:val="00940BA2"/>
    <w:rsid w:val="009B2D44"/>
    <w:rsid w:val="00A07E82"/>
    <w:rsid w:val="00A9710C"/>
    <w:rsid w:val="00AE3E37"/>
    <w:rsid w:val="00B21A57"/>
    <w:rsid w:val="00C14724"/>
    <w:rsid w:val="00C33602"/>
    <w:rsid w:val="00CD6F55"/>
    <w:rsid w:val="00D17028"/>
    <w:rsid w:val="00DE3104"/>
    <w:rsid w:val="00EB3AC3"/>
    <w:rsid w:val="00ED3058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re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re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re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CD6F55"/>
    <w:rPr>
      <w:sz w:val="18"/>
      <w:szCs w:val="18"/>
    </w:rPr>
  </w:style>
  <w:style w:type="paragraph" w:styleId="Paragraphedeliste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-tte">
    <w:name w:val="header"/>
    <w:basedOn w:val="Normal"/>
    <w:link w:val="En-tt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5B3A56"/>
    <w:rPr>
      <w:rFonts w:ascii="Tw Cen MT" w:eastAsia="Tw Cen MT" w:hAnsi="Tw Cen MT" w:cs="Tw Cen MT"/>
    </w:rPr>
  </w:style>
  <w:style w:type="paragraph" w:styleId="Pieddepage">
    <w:name w:val="footer"/>
    <w:basedOn w:val="Normal"/>
    <w:link w:val="Pieddepag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B3A56"/>
    <w:rPr>
      <w:rFonts w:ascii="Tw Cen MT" w:eastAsia="Tw Cen MT" w:hAnsi="Tw Cen MT" w:cs="Tw Cen M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8756E6"/>
    <w:rPr>
      <w:color w:val="0000FF" w:themeColor="hyperlink"/>
      <w:u w:val="single"/>
    </w:rPr>
  </w:style>
  <w:style w:type="character" w:customStyle="1" w:styleId="CorpsdetexteCar">
    <w:name w:val="Corps de texte Car"/>
    <w:basedOn w:val="Policepardfaut"/>
    <w:link w:val="Corpsdetexte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src">
    <w:name w:val="src"/>
    <w:basedOn w:val="Policepardfaut"/>
    <w:rsid w:val="005D48D6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re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re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re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CD6F55"/>
    <w:rPr>
      <w:sz w:val="18"/>
      <w:szCs w:val="18"/>
    </w:rPr>
  </w:style>
  <w:style w:type="paragraph" w:styleId="Paragraphedeliste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-tte">
    <w:name w:val="header"/>
    <w:basedOn w:val="Normal"/>
    <w:link w:val="En-tt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5B3A56"/>
    <w:rPr>
      <w:rFonts w:ascii="Tw Cen MT" w:eastAsia="Tw Cen MT" w:hAnsi="Tw Cen MT" w:cs="Tw Cen MT"/>
    </w:rPr>
  </w:style>
  <w:style w:type="paragraph" w:styleId="Pieddepage">
    <w:name w:val="footer"/>
    <w:basedOn w:val="Normal"/>
    <w:link w:val="Pieddepag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B3A56"/>
    <w:rPr>
      <w:rFonts w:ascii="Tw Cen MT" w:eastAsia="Tw Cen MT" w:hAnsi="Tw Cen MT" w:cs="Tw Cen M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8756E6"/>
    <w:rPr>
      <w:color w:val="0000FF" w:themeColor="hyperlink"/>
      <w:u w:val="single"/>
    </w:rPr>
  </w:style>
  <w:style w:type="character" w:customStyle="1" w:styleId="CorpsdetexteCar">
    <w:name w:val="Corps de texte Car"/>
    <w:basedOn w:val="Policepardfaut"/>
    <w:link w:val="Corpsdetexte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src">
    <w:name w:val="src"/>
    <w:basedOn w:val="Policepardfaut"/>
    <w:rsid w:val="005D48D6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bruno.constantin@univ-poitiers.f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jp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753</Words>
  <Characters>4147</Characters>
  <Application>Microsoft Office Word</Application>
  <DocSecurity>0</DocSecurity>
  <Lines>34</Lines>
  <Paragraphs>9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bconstantin</cp:lastModifiedBy>
  <cp:revision>4</cp:revision>
  <dcterms:created xsi:type="dcterms:W3CDTF">2017-05-24T09:43:00Z</dcterms:created>
  <dcterms:modified xsi:type="dcterms:W3CDTF">2017-05-24T09:55:00Z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